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185C6" w14:textId="77777777" w:rsidR="006E25AF" w:rsidRPr="005E4F87" w:rsidRDefault="00000000" w:rsidP="006E25AF">
      <w:r>
        <w:pict w14:anchorId="1B0A6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45pt;height:4.05pt" o:hrpct="0" o:hralign="center" o:hr="t">
            <v:imagedata r:id="rId8" o:title="Etched Double Line"/>
          </v:shape>
        </w:pict>
      </w:r>
    </w:p>
    <w:p w14:paraId="7915DEB5" w14:textId="77777777" w:rsidR="006E25AF" w:rsidRPr="005E4F87" w:rsidRDefault="006E25AF" w:rsidP="006E25AF">
      <w:pPr>
        <w:sectPr w:rsidR="006E25AF" w:rsidRPr="005E4F87" w:rsidSect="006C7244">
          <w:headerReference w:type="default" r:id="rId9"/>
          <w:footerReference w:type="even" r:id="rId10"/>
          <w:footerReference w:type="default" r:id="rId11"/>
          <w:pgSz w:w="12240" w:h="15840"/>
          <w:pgMar w:top="1152" w:right="1800" w:bottom="1440" w:left="1800" w:header="720" w:footer="720" w:gutter="0"/>
          <w:cols w:space="720"/>
          <w:docGrid w:linePitch="360"/>
        </w:sectPr>
      </w:pPr>
    </w:p>
    <w:p w14:paraId="570DC787" w14:textId="264A6591" w:rsidR="006E25AF" w:rsidRPr="005E4F87" w:rsidRDefault="00154899" w:rsidP="00781981">
      <w:pPr>
        <w:pStyle w:val="Heading1"/>
      </w:pPr>
      <w:r>
        <w:rPr>
          <w:noProof/>
          <w:lang w:eastAsia="en-US"/>
        </w:rPr>
        <w:drawing>
          <wp:anchor distT="0" distB="0" distL="114300" distR="4294955231" simplePos="0" relativeHeight="251659264" behindDoc="0" locked="0" layoutInCell="1" allowOverlap="1" wp14:anchorId="7919D85F" wp14:editId="3E7F9DE4">
            <wp:simplePos x="0" y="0"/>
            <wp:positionH relativeFrom="column">
              <wp:posOffset>123825</wp:posOffset>
            </wp:positionH>
            <wp:positionV relativeFrom="paragraph">
              <wp:posOffset>153057</wp:posOffset>
            </wp:positionV>
            <wp:extent cx="2176145" cy="474088"/>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ealliancelogo_sRGB"/>
                    <pic:cNvPicPr>
                      <a:picLocks noChangeAspect="1" noChangeArrowheads="1"/>
                    </pic:cNvPicPr>
                  </pic:nvPicPr>
                  <pic:blipFill>
                    <a:blip r:embed="rId12"/>
                    <a:stretch>
                      <a:fillRect/>
                    </a:stretch>
                  </pic:blipFill>
                  <pic:spPr bwMode="auto">
                    <a:xfrm>
                      <a:off x="0" y="0"/>
                      <a:ext cx="2176145" cy="474088"/>
                    </a:xfrm>
                    <a:prstGeom prst="rect">
                      <a:avLst/>
                    </a:prstGeom>
                    <a:noFill/>
                    <a:ln>
                      <a:noFill/>
                    </a:ln>
                  </pic:spPr>
                </pic:pic>
              </a:graphicData>
            </a:graphic>
          </wp:anchor>
        </w:drawing>
      </w:r>
      <w:r w:rsidR="009F64BE">
        <w:t>G7</w:t>
      </w:r>
      <w:r w:rsidR="001642EF" w:rsidRPr="001642EF">
        <w:rPr>
          <w:vertAlign w:val="superscript"/>
        </w:rPr>
        <w:t>®</w:t>
      </w:r>
      <w:r w:rsidR="009F64BE">
        <w:t xml:space="preserve"> </w:t>
      </w:r>
      <w:r w:rsidR="004C4FA9">
        <w:t>S</w:t>
      </w:r>
      <w:r w:rsidR="006E25AF" w:rsidRPr="005E4F87">
        <w:t>ystem Certification Application Data Sheet</w:t>
      </w:r>
    </w:p>
    <w:p w14:paraId="46AC76F6" w14:textId="77777777" w:rsidR="009E7421" w:rsidRPr="005E4F87" w:rsidRDefault="009E7421" w:rsidP="004C4FA9">
      <w:pPr>
        <w:pStyle w:val="Heading1"/>
        <w:sectPr w:rsidR="009E7421" w:rsidRPr="005E4F87" w:rsidSect="006C7244">
          <w:type w:val="continuous"/>
          <w:pgSz w:w="12240" w:h="15840"/>
          <w:pgMar w:top="1152" w:right="1800" w:bottom="1440" w:left="1800" w:header="720" w:footer="720" w:gutter="0"/>
          <w:cols w:space="720"/>
          <w:docGrid w:linePitch="360"/>
        </w:sectPr>
      </w:pPr>
    </w:p>
    <w:p w14:paraId="615C8AF0" w14:textId="77777777" w:rsidR="00154899" w:rsidRPr="005E4F87" w:rsidRDefault="00000000" w:rsidP="00154899">
      <w:r>
        <w:pict w14:anchorId="4DACA533">
          <v:shape id="_x0000_i1026" type="#_x0000_t75" style="width:431.45pt;height:4.05pt" o:hrpct="0" o:hralign="center" o:hr="t">
            <v:imagedata r:id="rId8" o:title="Etched Double Line"/>
          </v:shape>
        </w:pict>
      </w:r>
    </w:p>
    <w:p w14:paraId="16781440" w14:textId="60281876" w:rsidR="00BB6CF2" w:rsidRDefault="009F64BE" w:rsidP="00BB6CF2">
      <w:pPr>
        <w:spacing w:before="120" w:after="120"/>
        <w:jc w:val="center"/>
      </w:pPr>
      <w:r>
        <w:rPr>
          <w:noProof/>
          <w:lang w:eastAsia="en-US"/>
        </w:rPr>
        <w:t>Product Name/Logo</w:t>
      </w:r>
    </w:p>
    <w:p w14:paraId="798A2977" w14:textId="17ADA2BC" w:rsidR="006E25AF" w:rsidRPr="005E4F87" w:rsidRDefault="00000000" w:rsidP="00BB6CF2">
      <w:pPr>
        <w:spacing w:before="120" w:after="120"/>
        <w:jc w:val="center"/>
      </w:pPr>
      <w:r>
        <w:pict w14:anchorId="734A7343">
          <v:shape id="_x0000_i1027" type="#_x0000_t75" style="width:431.45pt;height:4.05pt" o:hrpct="0" o:hralign="center" o:hr="t">
            <v:imagedata r:id="rId8" o:title="Etched Double Line"/>
          </v:shape>
        </w:pict>
      </w:r>
    </w:p>
    <w:p w14:paraId="4465A1DB" w14:textId="2ADBA072" w:rsidR="006E25AF" w:rsidRPr="005E4F87" w:rsidRDefault="006E25AF" w:rsidP="006E25AF">
      <w:r w:rsidRPr="005E4F87">
        <w:t>The I</w:t>
      </w:r>
      <w:r w:rsidR="001642EF">
        <w:t>dea</w:t>
      </w:r>
      <w:r w:rsidRPr="005E4F87">
        <w:t>lliance Print Properties Working Group has established a certification process for G7</w:t>
      </w:r>
      <w:r w:rsidR="006E23FB" w:rsidRPr="006E23FB">
        <w:rPr>
          <w:vertAlign w:val="superscript"/>
        </w:rPr>
        <w:t>®</w:t>
      </w:r>
      <w:r w:rsidRPr="005E4F87">
        <w:t xml:space="preserve"> Systems. In accordance with this process The G7 System Certification Program is designed to evaluate the ability of a candidate system to calibrate a printing device to meet the G7 greyscale definition using four 1-D Curves within the tolerances outlined in this document.  All evaluations are based on the parameters of the G7 Specification</w:t>
      </w:r>
      <w:r w:rsidR="006E23FB">
        <w:t xml:space="preserve">. </w:t>
      </w:r>
      <w:r w:rsidRPr="005E4F87">
        <w:t>The following information is intended to assist producers and consumers in the use of the vendor system as specified for creating the four 1-D Curves.</w:t>
      </w:r>
    </w:p>
    <w:p w14:paraId="09FF307E" w14:textId="77777777" w:rsidR="006E25AF" w:rsidRPr="005E4F87" w:rsidRDefault="00000000" w:rsidP="006E25AF">
      <w:r>
        <w:pict w14:anchorId="0A34B419">
          <v:shape id="_x0000_i1028" type="#_x0000_t75" style="width:431.45pt;height:4.05pt" o:hrpct="0" o:hralign="center" o:hr="t">
            <v:imagedata r:id="rId8" o:title="Etched Double Line"/>
          </v:shape>
        </w:pict>
      </w:r>
    </w:p>
    <w:p w14:paraId="1DF414C3" w14:textId="77777777" w:rsidR="006E25AF" w:rsidRDefault="006E25AF" w:rsidP="006E25AF">
      <w:pPr>
        <w:numPr>
          <w:ilvl w:val="0"/>
          <w:numId w:val="10"/>
        </w:numPr>
        <w:rPr>
          <w:b/>
          <w:sz w:val="28"/>
        </w:rPr>
        <w:sectPr w:rsidR="006E25AF" w:rsidSect="006C7244">
          <w:type w:val="continuous"/>
          <w:pgSz w:w="12240" w:h="15840"/>
          <w:pgMar w:top="1152" w:right="1800" w:bottom="1440" w:left="1800" w:header="720" w:footer="720" w:gutter="0"/>
          <w:cols w:space="720"/>
          <w:docGrid w:linePitch="360"/>
        </w:sectPr>
      </w:pPr>
    </w:p>
    <w:p w14:paraId="37CD3F27" w14:textId="77777777" w:rsidR="006E25AF" w:rsidRDefault="006E25AF" w:rsidP="00467D12">
      <w:pPr>
        <w:pStyle w:val="Heading2"/>
      </w:pPr>
      <w:r w:rsidRPr="005E4F87">
        <w:t>Manufacturer</w:t>
      </w:r>
    </w:p>
    <w:p w14:paraId="57FC8B7D" w14:textId="0B82D796" w:rsidR="00A33CF0" w:rsidRPr="00A33CF0" w:rsidRDefault="009F64BE" w:rsidP="00A33CF0">
      <w:r>
        <w:t xml:space="preserve">“Product Name” is a </w:t>
      </w:r>
      <w:r w:rsidR="00A33CF0">
        <w:t>production of;</w:t>
      </w:r>
    </w:p>
    <w:p w14:paraId="05809BA1" w14:textId="3E813CB6" w:rsidR="00A62EF4" w:rsidRDefault="009F64BE" w:rsidP="006E25AF">
      <w:pPr>
        <w:pStyle w:val="NoSpacing"/>
        <w:ind w:left="1008"/>
        <w:rPr>
          <w:sz w:val="20"/>
        </w:rPr>
      </w:pPr>
      <w:r>
        <w:rPr>
          <w:sz w:val="20"/>
        </w:rPr>
        <w:t>Company name and address</w:t>
      </w:r>
    </w:p>
    <w:p w14:paraId="31DF1C99" w14:textId="77777777" w:rsidR="006E25AF" w:rsidRDefault="006E25AF" w:rsidP="006E25AF">
      <w:pPr>
        <w:rPr>
          <w:b/>
          <w:sz w:val="28"/>
        </w:rPr>
      </w:pPr>
    </w:p>
    <w:p w14:paraId="5758DA65" w14:textId="77777777" w:rsidR="00A62EF4" w:rsidRDefault="00A62EF4" w:rsidP="006E25AF">
      <w:pPr>
        <w:rPr>
          <w:b/>
          <w:sz w:val="28"/>
        </w:rPr>
      </w:pPr>
    </w:p>
    <w:p w14:paraId="06BF331B" w14:textId="77777777" w:rsidR="00A62EF4" w:rsidRDefault="00A62EF4" w:rsidP="006E25AF">
      <w:pPr>
        <w:rPr>
          <w:b/>
          <w:sz w:val="28"/>
        </w:rPr>
      </w:pPr>
    </w:p>
    <w:p w14:paraId="70184130" w14:textId="77777777" w:rsidR="00A62EF4" w:rsidRDefault="00A62EF4" w:rsidP="006E25AF">
      <w:pPr>
        <w:rPr>
          <w:b/>
          <w:sz w:val="28"/>
        </w:rPr>
      </w:pPr>
    </w:p>
    <w:p w14:paraId="6D89B8FC" w14:textId="77777777" w:rsidR="00A62EF4" w:rsidRDefault="00A62EF4" w:rsidP="006E25AF">
      <w:pPr>
        <w:rPr>
          <w:b/>
          <w:sz w:val="28"/>
        </w:rPr>
      </w:pPr>
    </w:p>
    <w:p w14:paraId="578A80C6" w14:textId="77777777" w:rsidR="006E25AF" w:rsidRDefault="006E25AF" w:rsidP="006E25AF">
      <w:pPr>
        <w:rPr>
          <w:b/>
          <w:sz w:val="28"/>
        </w:rPr>
      </w:pPr>
    </w:p>
    <w:p w14:paraId="777B150D" w14:textId="77777777" w:rsidR="006E25AF" w:rsidRPr="000E43A8" w:rsidRDefault="006E25AF" w:rsidP="006E25AF">
      <w:pPr>
        <w:rPr>
          <w:b/>
          <w:color w:val="0000FF"/>
          <w:sz w:val="28"/>
        </w:rPr>
      </w:pPr>
      <w:r w:rsidRPr="000E43A8">
        <w:rPr>
          <w:b/>
          <w:color w:val="0000FF"/>
          <w:sz w:val="28"/>
        </w:rPr>
        <w:t>Certification Seal Here</w:t>
      </w:r>
    </w:p>
    <w:p w14:paraId="47E38DDB" w14:textId="77777777" w:rsidR="006E25AF" w:rsidRDefault="006E25AF" w:rsidP="006E25AF">
      <w:pPr>
        <w:rPr>
          <w:b/>
          <w:sz w:val="28"/>
        </w:rPr>
      </w:pPr>
    </w:p>
    <w:p w14:paraId="7FC5E764" w14:textId="77777777" w:rsidR="006E25AF" w:rsidRDefault="006E25AF" w:rsidP="006E25AF">
      <w:pPr>
        <w:rPr>
          <w:b/>
          <w:sz w:val="28"/>
        </w:rPr>
      </w:pPr>
    </w:p>
    <w:p w14:paraId="664AE98D" w14:textId="77777777" w:rsidR="006E25AF" w:rsidRDefault="006E25AF" w:rsidP="006E25AF">
      <w:pPr>
        <w:rPr>
          <w:b/>
          <w:sz w:val="28"/>
        </w:rPr>
      </w:pPr>
    </w:p>
    <w:p w14:paraId="62EEBABC" w14:textId="77777777" w:rsidR="006E25AF" w:rsidRDefault="006E25AF" w:rsidP="006E25AF">
      <w:pPr>
        <w:rPr>
          <w:b/>
          <w:sz w:val="28"/>
        </w:rPr>
        <w:sectPr w:rsidR="006E25AF" w:rsidSect="006C7244">
          <w:type w:val="continuous"/>
          <w:pgSz w:w="12240" w:h="15840"/>
          <w:pgMar w:top="1152" w:right="1800" w:bottom="1440" w:left="1800" w:header="720" w:footer="720" w:gutter="0"/>
          <w:cols w:num="2" w:space="720"/>
          <w:docGrid w:linePitch="360"/>
        </w:sectPr>
      </w:pPr>
    </w:p>
    <w:p w14:paraId="7B7EA971" w14:textId="77777777" w:rsidR="006E25AF" w:rsidRDefault="006E25AF" w:rsidP="00467D12">
      <w:pPr>
        <w:pStyle w:val="Heading2"/>
      </w:pPr>
      <w:r w:rsidRPr="005E4F87">
        <w:t>Product</w:t>
      </w:r>
    </w:p>
    <w:p w14:paraId="45374A83" w14:textId="7582F344" w:rsidR="006E25AF" w:rsidRDefault="009F64BE" w:rsidP="006E25AF">
      <w:pPr>
        <w:ind w:left="1440"/>
        <w:rPr>
          <w:b/>
          <w:color w:val="0000FF"/>
          <w:sz w:val="28"/>
        </w:rPr>
      </w:pPr>
      <w:r>
        <w:rPr>
          <w:b/>
          <w:color w:val="0000FF"/>
          <w:sz w:val="28"/>
        </w:rPr>
        <w:t>“Product Name”</w:t>
      </w:r>
    </w:p>
    <w:p w14:paraId="7532642B" w14:textId="217BA35E" w:rsidR="006E25AF" w:rsidRPr="005E4F87" w:rsidRDefault="006E181C" w:rsidP="00467D12">
      <w:pPr>
        <w:pStyle w:val="Heading2"/>
      </w:pPr>
      <w:bookmarkStart w:id="0" w:name="_Toc145666159"/>
      <w:r>
        <w:lastRenderedPageBreak/>
        <w:t xml:space="preserve">Testing </w:t>
      </w:r>
      <w:r w:rsidR="00357350">
        <w:t>Instruction</w:t>
      </w:r>
      <w:r w:rsidR="0095028E">
        <w:t>s</w:t>
      </w:r>
      <w:r w:rsidR="009F64BE">
        <w:t xml:space="preserve"> (procedures)</w:t>
      </w:r>
    </w:p>
    <w:p w14:paraId="2939CAFF" w14:textId="44E84498" w:rsidR="006E25AF" w:rsidRPr="00467D12" w:rsidRDefault="006E181C" w:rsidP="00467D12">
      <w:pPr>
        <w:pStyle w:val="Heading4"/>
      </w:pPr>
      <w:bookmarkStart w:id="1" w:name="_Toc145666160"/>
      <w:bookmarkEnd w:id="0"/>
      <w:r w:rsidRPr="00467D12">
        <w:t>Printing</w:t>
      </w:r>
      <w:r w:rsidR="009E7421" w:rsidRPr="00467D12">
        <w:t xml:space="preserve"> the test target(s) </w:t>
      </w:r>
    </w:p>
    <w:p w14:paraId="4BA530FF" w14:textId="707D9F20" w:rsidR="006E25AF" w:rsidRPr="005E4F87" w:rsidRDefault="008C32D7" w:rsidP="00467D12">
      <w:pPr>
        <w:pStyle w:val="Heading4"/>
      </w:pPr>
      <w:bookmarkStart w:id="2" w:name="_Toc145666162"/>
      <w:bookmarkEnd w:id="1"/>
      <w:r>
        <w:t>Measur</w:t>
      </w:r>
      <w:r w:rsidR="006E181C">
        <w:t>ing</w:t>
      </w:r>
      <w:r w:rsidR="006E25AF" w:rsidRPr="005E4F87">
        <w:t xml:space="preserve"> </w:t>
      </w:r>
      <w:bookmarkEnd w:id="2"/>
      <w:r w:rsidR="00206F33">
        <w:t>the target(s)</w:t>
      </w:r>
    </w:p>
    <w:p w14:paraId="3C50C16C" w14:textId="68423F7A" w:rsidR="00E41377" w:rsidRPr="00E41377" w:rsidRDefault="00E41377" w:rsidP="00467D12">
      <w:pPr>
        <w:pStyle w:val="Heading4"/>
      </w:pPr>
      <w:bookmarkStart w:id="3" w:name="_Toc145666166"/>
      <w:r w:rsidRPr="00E41377">
        <w:t>Load</w:t>
      </w:r>
      <w:r w:rsidR="006E181C">
        <w:t>ing</w:t>
      </w:r>
      <w:r w:rsidRPr="00E41377">
        <w:t xml:space="preserve"> measurement files into </w:t>
      </w:r>
      <w:r w:rsidR="009F64BE">
        <w:t>“Product Name”</w:t>
      </w:r>
    </w:p>
    <w:p w14:paraId="3A699482" w14:textId="478FAE13" w:rsidR="00E41377" w:rsidRPr="00E41377" w:rsidRDefault="00E41377" w:rsidP="00467D12">
      <w:pPr>
        <w:pStyle w:val="Heading4"/>
      </w:pPr>
      <w:r w:rsidRPr="00E41377">
        <w:t>Adjust</w:t>
      </w:r>
      <w:r w:rsidR="006E181C">
        <w:t>ing</w:t>
      </w:r>
      <w:r w:rsidRPr="00E41377">
        <w:t xml:space="preserve"> parameters</w:t>
      </w:r>
    </w:p>
    <w:p w14:paraId="353C71A4" w14:textId="5B1E20B8" w:rsidR="00806396" w:rsidRPr="002102EA" w:rsidRDefault="00806396" w:rsidP="00467D12">
      <w:pPr>
        <w:pStyle w:val="Heading4"/>
      </w:pPr>
      <w:bookmarkStart w:id="4" w:name="_Toc145666169"/>
      <w:bookmarkEnd w:id="3"/>
      <w:r w:rsidRPr="002102EA">
        <w:t>Apply</w:t>
      </w:r>
      <w:r>
        <w:t>ing</w:t>
      </w:r>
      <w:r w:rsidR="00C41490">
        <w:t xml:space="preserve"> </w:t>
      </w:r>
      <w:r w:rsidR="009F64BE">
        <w:t>parameters</w:t>
      </w:r>
      <w:r w:rsidRPr="002102EA">
        <w:t xml:space="preserve"> the </w:t>
      </w:r>
      <w:r>
        <w:t>printing system</w:t>
      </w:r>
    </w:p>
    <w:p w14:paraId="413B073E" w14:textId="777AB1E9" w:rsidR="00806396" w:rsidRPr="002102EA" w:rsidRDefault="00806396" w:rsidP="00467D12">
      <w:pPr>
        <w:pStyle w:val="Heading4"/>
      </w:pPr>
      <w:r>
        <w:t xml:space="preserve">Saving the </w:t>
      </w:r>
      <w:r w:rsidR="009F64BE">
        <w:t>“Product Name”</w:t>
      </w:r>
      <w:r>
        <w:t xml:space="preserve"> session</w:t>
      </w:r>
    </w:p>
    <w:p w14:paraId="5AB9B41F" w14:textId="454634A3" w:rsidR="00B2523A" w:rsidRDefault="00B2523A" w:rsidP="00467D12">
      <w:pPr>
        <w:pStyle w:val="Heading2"/>
      </w:pPr>
      <w:r>
        <w:t xml:space="preserve">Verification </w:t>
      </w:r>
      <w:r w:rsidR="00C41490">
        <w:t>By P</w:t>
      </w:r>
      <w:r>
        <w:t>hys</w:t>
      </w:r>
      <w:r w:rsidR="00C41490">
        <w:t>ical Print Testing</w:t>
      </w:r>
    </w:p>
    <w:p w14:paraId="213FFE4D" w14:textId="78EA11EB" w:rsidR="006E25AF" w:rsidRPr="005E4F87" w:rsidRDefault="006F6457" w:rsidP="00467D12">
      <w:pPr>
        <w:pStyle w:val="Heading4"/>
      </w:pPr>
      <w:r>
        <w:t>Print</w:t>
      </w:r>
      <w:r w:rsidR="006E181C">
        <w:t>ing</w:t>
      </w:r>
      <w:r>
        <w:t xml:space="preserve"> a “</w:t>
      </w:r>
      <w:r w:rsidR="00EF6770">
        <w:t>Verification</w:t>
      </w:r>
      <w:r>
        <w:t>” target</w:t>
      </w:r>
      <w:bookmarkEnd w:id="4"/>
    </w:p>
    <w:p w14:paraId="6BE63499" w14:textId="10815499" w:rsidR="00D351F5" w:rsidRDefault="00D351F5" w:rsidP="00467D12">
      <w:pPr>
        <w:pStyle w:val="Heading4"/>
      </w:pPr>
      <w:r w:rsidRPr="005E4F87">
        <w:t>Me</w:t>
      </w:r>
      <w:r w:rsidR="006E181C">
        <w:t>asuring</w:t>
      </w:r>
      <w:r>
        <w:t xml:space="preserve"> the </w:t>
      </w:r>
      <w:r w:rsidR="00EF6770">
        <w:t xml:space="preserve">Verification </w:t>
      </w:r>
      <w:r>
        <w:t>target</w:t>
      </w:r>
    </w:p>
    <w:p w14:paraId="6E615A2E" w14:textId="75841530" w:rsidR="004B22EB" w:rsidRPr="00467D12" w:rsidRDefault="004B22EB" w:rsidP="00467D12">
      <w:pPr>
        <w:pStyle w:val="Heading2"/>
      </w:pPr>
      <w:r w:rsidRPr="00467D12">
        <w:t>Analyz</w:t>
      </w:r>
      <w:r w:rsidR="006E181C" w:rsidRPr="00467D12">
        <w:t>i</w:t>
      </w:r>
      <w:r w:rsidRPr="00467D12">
        <w:t>ng Results</w:t>
      </w:r>
    </w:p>
    <w:p w14:paraId="550AB2E7" w14:textId="17CA50EF" w:rsidR="00DB6391" w:rsidRDefault="009F64BE" w:rsidP="00467D12">
      <w:pPr>
        <w:pStyle w:val="Heading2"/>
      </w:pPr>
      <w:r>
        <w:t xml:space="preserve"> “Product Name”</w:t>
      </w:r>
      <w:r w:rsidR="00DB6391" w:rsidRPr="00200233">
        <w:t xml:space="preserve"> Tolerances</w:t>
      </w:r>
    </w:p>
    <w:p w14:paraId="167E2FEC" w14:textId="53042F7B" w:rsidR="00DB6391" w:rsidRDefault="00DB6391" w:rsidP="00DB6391">
      <w:pPr>
        <w:pStyle w:val="Copyindent"/>
      </w:pPr>
      <w:r>
        <w:t xml:space="preserve">Using the </w:t>
      </w:r>
      <w:r w:rsidR="00827665">
        <w:t xml:space="preserve">2010 </w:t>
      </w:r>
      <w:r w:rsidR="009F4C51">
        <w:t xml:space="preserve">G7 System Certification </w:t>
      </w:r>
      <w:r w:rsidR="00827665">
        <w:t>sample test files</w:t>
      </w:r>
      <w:r>
        <w:t xml:space="preserve"> and the</w:t>
      </w:r>
      <w:r w:rsidR="00E24B41">
        <w:t xml:space="preserve"> Analysis Instructions (see above) or the</w:t>
      </w:r>
      <w:r>
        <w:t xml:space="preserve"> </w:t>
      </w:r>
      <w:r w:rsidR="00410DE9">
        <w:t>I</w:t>
      </w:r>
      <w:r w:rsidR="001642EF">
        <w:t>dea</w:t>
      </w:r>
      <w:r w:rsidR="00410DE9">
        <w:t xml:space="preserve">lliance </w:t>
      </w:r>
      <w:r w:rsidR="00697C6F">
        <w:t>Validation Process</w:t>
      </w:r>
      <w:r>
        <w:t xml:space="preserve"> </w:t>
      </w:r>
      <w:r w:rsidR="00697C6F">
        <w:t>(see below),</w:t>
      </w:r>
      <w:r>
        <w:t xml:space="preserve"> </w:t>
      </w:r>
      <w:r w:rsidR="009F64BE">
        <w:t>“Product Name”</w:t>
      </w:r>
      <w:r>
        <w:t xml:space="preserve"> </w:t>
      </w:r>
      <w:r w:rsidR="00827665">
        <w:t>will</w:t>
      </w:r>
      <w:r>
        <w:t xml:space="preserve"> </w:t>
      </w:r>
      <w:r w:rsidR="00E24B41">
        <w:t>achieve tolerances</w:t>
      </w:r>
      <w:r w:rsidR="00122099">
        <w:t xml:space="preserve"> equal to or lower than</w:t>
      </w:r>
      <w:r w:rsidR="00827665">
        <w:t xml:space="preserve"> the following</w:t>
      </w:r>
      <w:r w:rsidR="00697C6F">
        <w:t>.</w:t>
      </w:r>
    </w:p>
    <w:p w14:paraId="020128B6" w14:textId="77777777" w:rsidR="00DB6391" w:rsidRDefault="00DB6391" w:rsidP="00DB6391">
      <w:pPr>
        <w:pStyle w:val="Copyindent"/>
      </w:pP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0"/>
        <w:gridCol w:w="1440"/>
        <w:gridCol w:w="1530"/>
      </w:tblGrid>
      <w:tr w:rsidR="00DB6391" w:rsidRPr="005E4F87" w14:paraId="7BB951B6" w14:textId="77777777" w:rsidTr="000E7368">
        <w:tc>
          <w:tcPr>
            <w:tcW w:w="2160" w:type="dxa"/>
            <w:shd w:val="solid" w:color="D9D9D9" w:fill="auto"/>
          </w:tcPr>
          <w:p w14:paraId="01837589" w14:textId="77777777" w:rsidR="00DB6391" w:rsidRPr="005E4F87" w:rsidRDefault="00DB6391" w:rsidP="00772D0C">
            <w:r w:rsidRPr="005E4F87">
              <w:t>Metric</w:t>
            </w:r>
          </w:p>
        </w:tc>
        <w:tc>
          <w:tcPr>
            <w:tcW w:w="1440" w:type="dxa"/>
            <w:shd w:val="solid" w:color="D9D9D9" w:fill="auto"/>
          </w:tcPr>
          <w:p w14:paraId="2B40AAB7" w14:textId="38FFE2AB" w:rsidR="00DB6391" w:rsidRPr="005E4F87" w:rsidRDefault="00DB6391" w:rsidP="00772D0C">
            <w:r w:rsidRPr="005E4F87">
              <w:t>Ave</w:t>
            </w:r>
            <w:r w:rsidR="003C7AA3">
              <w:t>rage</w:t>
            </w:r>
          </w:p>
        </w:tc>
        <w:tc>
          <w:tcPr>
            <w:tcW w:w="1530" w:type="dxa"/>
            <w:shd w:val="solid" w:color="D9D9D9" w:fill="auto"/>
          </w:tcPr>
          <w:p w14:paraId="6AE203D1" w14:textId="4BA79B74" w:rsidR="00DB6391" w:rsidRPr="005E4F87" w:rsidRDefault="00DB6391" w:rsidP="00772D0C">
            <w:r w:rsidRPr="005E4F87">
              <w:t>Max</w:t>
            </w:r>
            <w:r w:rsidR="003C7AA3">
              <w:t>imum</w:t>
            </w:r>
          </w:p>
        </w:tc>
      </w:tr>
      <w:tr w:rsidR="00DB6391" w:rsidRPr="005E4F87" w14:paraId="24816506" w14:textId="77777777" w:rsidTr="000E7368">
        <w:tc>
          <w:tcPr>
            <w:tcW w:w="2160" w:type="dxa"/>
          </w:tcPr>
          <w:p w14:paraId="0F80A131" w14:textId="09640ACC" w:rsidR="00DB6391" w:rsidRPr="005E4F87" w:rsidRDefault="00FB7177" w:rsidP="00772D0C">
            <w:r>
              <w:t>∆</w:t>
            </w:r>
            <w:r w:rsidR="00DB6391" w:rsidRPr="005E4F87">
              <w:t>F*</w:t>
            </w:r>
            <w:r w:rsidR="00827665">
              <w:t xml:space="preserve"> (CMY only)</w:t>
            </w:r>
          </w:p>
        </w:tc>
        <w:tc>
          <w:tcPr>
            <w:tcW w:w="1440" w:type="dxa"/>
          </w:tcPr>
          <w:p w14:paraId="54B481D5" w14:textId="77777777" w:rsidR="00DB6391" w:rsidRPr="005E4F87" w:rsidRDefault="00827665" w:rsidP="00772D0C">
            <w:r w:rsidRPr="00827665">
              <w:rPr>
                <w:u w:val="single"/>
              </w:rPr>
              <w:t>&lt;</w:t>
            </w:r>
            <w:r w:rsidR="00772D0C">
              <w:t>1.0</w:t>
            </w:r>
          </w:p>
        </w:tc>
        <w:tc>
          <w:tcPr>
            <w:tcW w:w="1530" w:type="dxa"/>
          </w:tcPr>
          <w:p w14:paraId="2BE5A897" w14:textId="77777777" w:rsidR="00DB6391" w:rsidRPr="005E4F87" w:rsidRDefault="00827665" w:rsidP="00772D0C">
            <w:r w:rsidRPr="00827665">
              <w:rPr>
                <w:u w:val="single"/>
              </w:rPr>
              <w:t>&lt;</w:t>
            </w:r>
            <w:r w:rsidR="00772D0C">
              <w:t>2</w:t>
            </w:r>
          </w:p>
        </w:tc>
      </w:tr>
      <w:tr w:rsidR="00DB6391" w:rsidRPr="005E4F87" w14:paraId="281879E6" w14:textId="77777777" w:rsidTr="000E7368">
        <w:tc>
          <w:tcPr>
            <w:tcW w:w="2160" w:type="dxa"/>
          </w:tcPr>
          <w:p w14:paraId="130D6B8D" w14:textId="5DFEE436" w:rsidR="00DB6391" w:rsidRPr="005E4F87" w:rsidRDefault="00FB7177" w:rsidP="00772D0C">
            <w:r>
              <w:t>∆</w:t>
            </w:r>
            <w:r w:rsidR="00DB6391" w:rsidRPr="005E4F87">
              <w:t>L*</w:t>
            </w:r>
            <w:r w:rsidR="00CF702E">
              <w:t xml:space="preserve"> (CMY &amp; K)</w:t>
            </w:r>
          </w:p>
        </w:tc>
        <w:tc>
          <w:tcPr>
            <w:tcW w:w="1440" w:type="dxa"/>
          </w:tcPr>
          <w:p w14:paraId="04E3C7EF" w14:textId="77777777" w:rsidR="00DB6391" w:rsidRPr="005E4F87" w:rsidRDefault="00827665" w:rsidP="00772D0C">
            <w:r w:rsidRPr="00827665">
              <w:rPr>
                <w:u w:val="single"/>
              </w:rPr>
              <w:t>&lt;</w:t>
            </w:r>
            <w:r w:rsidR="00DB6391">
              <w:t>1.</w:t>
            </w:r>
            <w:r w:rsidR="00772D0C">
              <w:t>0</w:t>
            </w:r>
          </w:p>
        </w:tc>
        <w:tc>
          <w:tcPr>
            <w:tcW w:w="1530" w:type="dxa"/>
          </w:tcPr>
          <w:p w14:paraId="3179C8C8" w14:textId="77777777" w:rsidR="00DB6391" w:rsidRPr="005E4F87" w:rsidRDefault="00827665" w:rsidP="00772D0C">
            <w:r w:rsidRPr="00827665">
              <w:rPr>
                <w:u w:val="single"/>
              </w:rPr>
              <w:t>&lt;</w:t>
            </w:r>
            <w:r w:rsidR="00772D0C">
              <w:t>2</w:t>
            </w:r>
          </w:p>
        </w:tc>
      </w:tr>
    </w:tbl>
    <w:p w14:paraId="7CA8D6D2" w14:textId="300E397E" w:rsidR="00083376" w:rsidRPr="00146F5D" w:rsidRDefault="00083376" w:rsidP="00146F5D">
      <w:pPr>
        <w:pStyle w:val="Caption"/>
      </w:pPr>
      <w:r w:rsidRPr="00146F5D">
        <w:t xml:space="preserve">Table 1: </w:t>
      </w:r>
      <w:r w:rsidR="009F64BE">
        <w:t>“Product Name”</w:t>
      </w:r>
      <w:r w:rsidRPr="00146F5D">
        <w:t xml:space="preserve"> tolerances</w:t>
      </w:r>
      <w:r w:rsidR="00891F15">
        <w:t xml:space="preserve"> for </w:t>
      </w:r>
      <w:r w:rsidR="00891F15" w:rsidRPr="00891F15">
        <w:t>2010 sample test files</w:t>
      </w:r>
    </w:p>
    <w:p w14:paraId="510A2E76" w14:textId="407E2D42" w:rsidR="00DB6391" w:rsidRPr="00146F5D" w:rsidRDefault="004B22EB" w:rsidP="00E87239">
      <w:pPr>
        <w:pStyle w:val="alert"/>
      </w:pPr>
      <w:r>
        <w:t>Note</w:t>
      </w:r>
      <w:r w:rsidR="00DB6391" w:rsidRPr="00146F5D">
        <w:t xml:space="preserve">:  </w:t>
      </w:r>
      <w:r w:rsidR="00423594" w:rsidRPr="00146F5D">
        <w:t>Because t</w:t>
      </w:r>
      <w:r w:rsidR="00827665" w:rsidRPr="00146F5D">
        <w:t xml:space="preserve">he </w:t>
      </w:r>
      <w:r w:rsidR="003C7AA3" w:rsidRPr="00146F5D">
        <w:t xml:space="preserve">current </w:t>
      </w:r>
      <w:r w:rsidR="00423594" w:rsidRPr="00146F5D">
        <w:t>G7 System Certification</w:t>
      </w:r>
      <w:r w:rsidR="00827665" w:rsidRPr="00146F5D">
        <w:t xml:space="preserve"> </w:t>
      </w:r>
      <w:r w:rsidR="00423594" w:rsidRPr="00146F5D">
        <w:t xml:space="preserve">method </w:t>
      </w:r>
      <w:r w:rsidR="003C7AA3" w:rsidRPr="00146F5D">
        <w:t xml:space="preserve">uses </w:t>
      </w:r>
      <w:r w:rsidR="00423594" w:rsidRPr="00146F5D">
        <w:t>a</w:t>
      </w:r>
      <w:r w:rsidR="003C7AA3" w:rsidRPr="00146F5D">
        <w:t xml:space="preserve"> simulation process </w:t>
      </w:r>
      <w:r w:rsidR="00423594" w:rsidRPr="00146F5D">
        <w:t xml:space="preserve">that </w:t>
      </w:r>
      <w:r w:rsidR="00827665" w:rsidRPr="00146F5D">
        <w:t xml:space="preserve">eliminates </w:t>
      </w:r>
      <w:r w:rsidR="00423594" w:rsidRPr="00146F5D">
        <w:t>print-to-print variation</w:t>
      </w:r>
      <w:r w:rsidR="00827665" w:rsidRPr="00146F5D">
        <w:t xml:space="preserve">, </w:t>
      </w:r>
      <w:r w:rsidR="00423594" w:rsidRPr="00146F5D">
        <w:t>and because the sample data provided by I</w:t>
      </w:r>
      <w:r w:rsidR="001642EF">
        <w:t>dea</w:t>
      </w:r>
      <w:r w:rsidR="00423594" w:rsidRPr="00146F5D">
        <w:t xml:space="preserve">lliance for G7 System Certification is highly uniform, </w:t>
      </w:r>
      <w:r w:rsidR="009F64BE">
        <w:t>“Product Name”</w:t>
      </w:r>
      <w:r w:rsidR="00423594" w:rsidRPr="00146F5D">
        <w:t xml:space="preserve"> can produce </w:t>
      </w:r>
      <w:r w:rsidR="00827665" w:rsidRPr="00146F5D">
        <w:t>extremely low delta errors</w:t>
      </w:r>
      <w:r>
        <w:t xml:space="preserve"> with those specific </w:t>
      </w:r>
      <w:r w:rsidR="000E7368" w:rsidRPr="00146F5D">
        <w:t>data</w:t>
      </w:r>
      <w:r>
        <w:t xml:space="preserve"> files</w:t>
      </w:r>
      <w:r w:rsidR="00827665" w:rsidRPr="00146F5D">
        <w:t xml:space="preserve">.  </w:t>
      </w:r>
      <w:r w:rsidR="0029588E">
        <w:t>H</w:t>
      </w:r>
      <w:r w:rsidR="00423594" w:rsidRPr="00146F5D">
        <w:t xml:space="preserve">igher errors should be expected </w:t>
      </w:r>
      <w:r w:rsidR="000E7368" w:rsidRPr="00146F5D">
        <w:t>when calibrating</w:t>
      </w:r>
      <w:r w:rsidR="00827665" w:rsidRPr="00146F5D">
        <w:t xml:space="preserve"> live printing </w:t>
      </w:r>
      <w:r w:rsidR="00423594" w:rsidRPr="00146F5D">
        <w:t>devices</w:t>
      </w:r>
      <w:r w:rsidR="0029588E">
        <w:t>,</w:t>
      </w:r>
      <w:r w:rsidR="00827665" w:rsidRPr="00146F5D">
        <w:t xml:space="preserve"> </w:t>
      </w:r>
      <w:r w:rsidR="00DB6391" w:rsidRPr="00146F5D">
        <w:t xml:space="preserve">depending on the </w:t>
      </w:r>
      <w:r w:rsidR="00697C6F" w:rsidRPr="00146F5D">
        <w:t>characteristics</w:t>
      </w:r>
      <w:r w:rsidR="00DB6391" w:rsidRPr="00146F5D">
        <w:t xml:space="preserve"> and </w:t>
      </w:r>
      <w:r w:rsidR="00697C6F" w:rsidRPr="00146F5D">
        <w:t>variability</w:t>
      </w:r>
      <w:r w:rsidR="00DB6391" w:rsidRPr="00146F5D">
        <w:t xml:space="preserve"> of </w:t>
      </w:r>
      <w:r w:rsidR="00827665" w:rsidRPr="00146F5D">
        <w:t>each</w:t>
      </w:r>
      <w:r w:rsidR="00891F15">
        <w:t xml:space="preserve"> printing system</w:t>
      </w:r>
      <w:r w:rsidR="00827665" w:rsidRPr="00146F5D">
        <w:t>.</w:t>
      </w:r>
    </w:p>
    <w:p w14:paraId="57C20CCF" w14:textId="77777777" w:rsidR="00803DAF" w:rsidRDefault="00803DAF">
      <w:pPr>
        <w:rPr>
          <w:rFonts w:ascii="Arial" w:hAnsi="Arial"/>
          <w:b/>
          <w:bCs/>
          <w:iCs/>
          <w:sz w:val="28"/>
          <w:szCs w:val="28"/>
        </w:rPr>
      </w:pPr>
      <w:r>
        <w:br w:type="page"/>
      </w:r>
    </w:p>
    <w:p w14:paraId="3A391042" w14:textId="12DBD28F" w:rsidR="006E25AF" w:rsidRPr="008B02A6" w:rsidRDefault="00410DE9" w:rsidP="00467D12">
      <w:pPr>
        <w:pStyle w:val="Heading2"/>
      </w:pPr>
      <w:r>
        <w:lastRenderedPageBreak/>
        <w:t>I</w:t>
      </w:r>
      <w:r w:rsidR="001642EF">
        <w:t>dea</w:t>
      </w:r>
      <w:r>
        <w:t xml:space="preserve">lliance </w:t>
      </w:r>
      <w:r w:rsidR="006E25AF" w:rsidRPr="008B02A6">
        <w:t>Validation Process</w:t>
      </w:r>
    </w:p>
    <w:p w14:paraId="3A3179A9" w14:textId="359A5F5C" w:rsidR="006E25AF" w:rsidRPr="005E4F87" w:rsidRDefault="006E25AF" w:rsidP="006E25AF">
      <w:r w:rsidRPr="005E4F87">
        <w:t>To validate that the G7 calibration process has been succes</w:t>
      </w:r>
      <w:r w:rsidR="00C234DA">
        <w:t>sful, a target consisting of</w:t>
      </w:r>
      <w:r w:rsidRPr="005E4F87">
        <w:t xml:space="preserve"> </w:t>
      </w:r>
      <w:r w:rsidR="00944C9C">
        <w:t xml:space="preserve">two gray scales having </w:t>
      </w:r>
      <w:r w:rsidRPr="005E4F87">
        <w:t xml:space="preserve">the </w:t>
      </w:r>
      <w:r w:rsidR="00536338">
        <w:t xml:space="preserve">CMYK </w:t>
      </w:r>
      <w:r w:rsidRPr="005E4F87">
        <w:t xml:space="preserve">patch values listed in </w:t>
      </w:r>
      <w:r w:rsidRPr="00594622">
        <w:rPr>
          <w:b/>
          <w:i/>
        </w:rPr>
        <w:t>Appendix A</w:t>
      </w:r>
      <w:r w:rsidR="00594622">
        <w:rPr>
          <w:b/>
          <w:i/>
        </w:rPr>
        <w:t>:</w:t>
      </w:r>
      <w:r w:rsidRPr="005E4F87">
        <w:t xml:space="preserve"> shall be printed through the calculated correction curves using the same print settings in use when the calibration was calculated. </w:t>
      </w:r>
    </w:p>
    <w:p w14:paraId="17151F64" w14:textId="49045A46" w:rsidR="006E25AF" w:rsidRPr="009845A7" w:rsidRDefault="006E25AF" w:rsidP="002470A6">
      <w:pPr>
        <w:pStyle w:val="Heading3"/>
      </w:pPr>
      <w:r w:rsidRPr="009845A7">
        <w:t>Validating NPDC</w:t>
      </w:r>
      <w:r w:rsidR="002854D9">
        <w:t xml:space="preserve"> (CMY and K scales)</w:t>
      </w:r>
    </w:p>
    <w:p w14:paraId="70F78286" w14:textId="26DED3F1" w:rsidR="00C234DA" w:rsidRDefault="006E25AF" w:rsidP="006E25AF">
      <w:pPr>
        <w:ind w:left="720"/>
      </w:pPr>
      <w:r w:rsidRPr="005E4F87">
        <w:t xml:space="preserve">To validate NPDC correction, both the K-only scale and the CMY-only scale shall be measured with a densitometer or spectrophotometer and the </w:t>
      </w:r>
      <w:r w:rsidR="00C234DA">
        <w:t xml:space="preserve">relative </w:t>
      </w:r>
      <w:r w:rsidRPr="005E4F87">
        <w:t xml:space="preserve">neutral density </w:t>
      </w:r>
      <w:r w:rsidR="00664749">
        <w:t>(ND) values (</w:t>
      </w:r>
      <w:r w:rsidR="00C234DA">
        <w:t xml:space="preserve">measured in </w:t>
      </w:r>
      <w:r w:rsidR="00664749">
        <w:t>the “K” or “Visual” channel)</w:t>
      </w:r>
      <w:r w:rsidR="00C234DA">
        <w:t xml:space="preserve"> shall be </w:t>
      </w:r>
      <w:r w:rsidRPr="005E4F87">
        <w:t>recorded for each patch.  T</w:t>
      </w:r>
      <w:r w:rsidR="00C234DA">
        <w:t>o obtain relative ND values, either t</w:t>
      </w:r>
      <w:r w:rsidRPr="005E4F87">
        <w:t xml:space="preserve">he </w:t>
      </w:r>
      <w:r w:rsidR="00C234DA">
        <w:t>measuring device</w:t>
      </w:r>
      <w:r w:rsidRPr="005E4F87">
        <w:t xml:space="preserve"> </w:t>
      </w:r>
      <w:r w:rsidR="00944C9C">
        <w:t>shall</w:t>
      </w:r>
      <w:r w:rsidR="009F4C51">
        <w:t xml:space="preserve"> be zeroed </w:t>
      </w:r>
      <w:r w:rsidRPr="005E4F87">
        <w:t xml:space="preserve">on the substrate, or the white patch </w:t>
      </w:r>
      <w:r w:rsidR="00C234DA">
        <w:t xml:space="preserve">neutral </w:t>
      </w:r>
      <w:r w:rsidRPr="005E4F87">
        <w:t xml:space="preserve">density </w:t>
      </w:r>
      <w:r w:rsidR="00C234DA">
        <w:t xml:space="preserve">value </w:t>
      </w:r>
      <w:r w:rsidR="00944C9C">
        <w:t>shall</w:t>
      </w:r>
      <w:r w:rsidR="009F4C51">
        <w:t xml:space="preserve"> be subtracted </w:t>
      </w:r>
      <w:r w:rsidRPr="005E4F87">
        <w:t>from itself and all other patches</w:t>
      </w:r>
      <w:r w:rsidR="00C234DA">
        <w:t>.</w:t>
      </w:r>
    </w:p>
    <w:p w14:paraId="57A2D7B7" w14:textId="01555126" w:rsidR="007670F2" w:rsidRDefault="00C234DA" w:rsidP="006E25AF">
      <w:pPr>
        <w:ind w:left="720"/>
      </w:pPr>
      <w:r>
        <w:t xml:space="preserve">The </w:t>
      </w:r>
      <w:r w:rsidR="00EE18AD">
        <w:t>(</w:t>
      </w:r>
      <w:r>
        <w:t>relative</w:t>
      </w:r>
      <w:r w:rsidR="00EE18AD">
        <w:t>)</w:t>
      </w:r>
      <w:r>
        <w:t xml:space="preserve"> ND values shall be converted to </w:t>
      </w:r>
      <w:r w:rsidR="00EE18AD">
        <w:t>(</w:t>
      </w:r>
      <w:r>
        <w:t>relative</w:t>
      </w:r>
      <w:r w:rsidR="00EE18AD">
        <w:t>)</w:t>
      </w:r>
      <w:r>
        <w:t xml:space="preserve"> L* by </w:t>
      </w:r>
      <w:r w:rsidR="00EE18AD">
        <w:t xml:space="preserve">the </w:t>
      </w:r>
      <w:r>
        <w:t>standard CIE formula</w:t>
      </w:r>
      <w:r w:rsidR="00EE18AD">
        <w:t xml:space="preserve"> in </w:t>
      </w:r>
      <w:r w:rsidR="00EE18AD" w:rsidRPr="00594622">
        <w:rPr>
          <w:b/>
          <w:i/>
        </w:rPr>
        <w:t xml:space="preserve">Appendix </w:t>
      </w:r>
      <w:r w:rsidR="005C78CA" w:rsidRPr="00594622">
        <w:rPr>
          <w:b/>
          <w:i/>
        </w:rPr>
        <w:t>B</w:t>
      </w:r>
      <w:r w:rsidR="00594622">
        <w:rPr>
          <w:b/>
          <w:i/>
        </w:rPr>
        <w:t>:</w:t>
      </w:r>
    </w:p>
    <w:p w14:paraId="3F23FCDA" w14:textId="2CCA8400" w:rsidR="007670F2" w:rsidRDefault="007670F2" w:rsidP="006E25AF">
      <w:pPr>
        <w:ind w:left="720"/>
      </w:pPr>
      <w:r>
        <w:t>T</w:t>
      </w:r>
      <w:r w:rsidR="00CF702E">
        <w:t>he D</w:t>
      </w:r>
      <w:r w:rsidR="00C234DA">
        <w:t xml:space="preserve">elta L* </w:t>
      </w:r>
      <w:r w:rsidR="00594622">
        <w:t>(</w:t>
      </w:r>
      <w:r w:rsidR="00CF702E">
        <w:t xml:space="preserve">∆L*) </w:t>
      </w:r>
      <w:r w:rsidR="00C234DA">
        <w:t xml:space="preserve">error </w:t>
      </w:r>
      <w:r>
        <w:t>shall be</w:t>
      </w:r>
      <w:r w:rsidR="00C234DA">
        <w:t xml:space="preserve"> computed for each patch </w:t>
      </w:r>
      <w:r w:rsidR="00036D59">
        <w:t>compared to</w:t>
      </w:r>
      <w:r w:rsidR="00036D59" w:rsidRPr="00944C9C">
        <w:t xml:space="preserve"> target values on file with </w:t>
      </w:r>
      <w:r w:rsidR="001642EF" w:rsidRPr="00944C9C">
        <w:t>Idealliance</w:t>
      </w:r>
      <w:r w:rsidR="00036D59">
        <w:t xml:space="preserve"> </w:t>
      </w:r>
      <w:r>
        <w:t xml:space="preserve">by the formula in </w:t>
      </w:r>
      <w:r w:rsidRPr="00594622">
        <w:rPr>
          <w:b/>
          <w:i/>
        </w:rPr>
        <w:t xml:space="preserve">Appendix </w:t>
      </w:r>
      <w:r w:rsidR="005C78CA" w:rsidRPr="00594622">
        <w:rPr>
          <w:b/>
          <w:i/>
        </w:rPr>
        <w:t>B</w:t>
      </w:r>
      <w:r w:rsidR="00594622" w:rsidRPr="00594622">
        <w:rPr>
          <w:b/>
          <w:i/>
        </w:rPr>
        <w:t>:</w:t>
      </w:r>
    </w:p>
    <w:p w14:paraId="2061EE63" w14:textId="7EFF9FBE" w:rsidR="006E25AF" w:rsidRPr="005E4F87" w:rsidRDefault="007670F2" w:rsidP="006E25AF">
      <w:pPr>
        <w:ind w:left="720"/>
      </w:pPr>
      <w:r>
        <w:t>T</w:t>
      </w:r>
      <w:r w:rsidR="00C234DA">
        <w:t xml:space="preserve">he average and maximum </w:t>
      </w:r>
      <w:r>
        <w:t xml:space="preserve">∆L* </w:t>
      </w:r>
      <w:r w:rsidR="00C234DA">
        <w:t>must n</w:t>
      </w:r>
      <w:r w:rsidR="00682224">
        <w:t xml:space="preserve">ot exceed the </w:t>
      </w:r>
      <w:r w:rsidR="001642EF">
        <w:t>Idealliance</w:t>
      </w:r>
      <w:r w:rsidR="00036D59">
        <w:t xml:space="preserve"> Tolerance </w:t>
      </w:r>
      <w:r w:rsidR="00682224">
        <w:t xml:space="preserve">values in </w:t>
      </w:r>
      <w:r w:rsidR="00682224" w:rsidRPr="00682224">
        <w:rPr>
          <w:b/>
        </w:rPr>
        <w:t>T</w:t>
      </w:r>
      <w:r w:rsidR="00C234DA" w:rsidRPr="00682224">
        <w:rPr>
          <w:b/>
        </w:rPr>
        <w:t>able 2</w:t>
      </w:r>
      <w:r w:rsidR="00C234DA">
        <w:t>, below.</w:t>
      </w:r>
    </w:p>
    <w:p w14:paraId="68030223" w14:textId="7DBF3337" w:rsidR="006E25AF" w:rsidRPr="009845A7" w:rsidRDefault="006E25AF" w:rsidP="002470A6">
      <w:pPr>
        <w:pStyle w:val="Heading3"/>
      </w:pPr>
      <w:r w:rsidRPr="009845A7">
        <w:t>Validating Gray Balance</w:t>
      </w:r>
      <w:r w:rsidR="002854D9">
        <w:t xml:space="preserve"> </w:t>
      </w:r>
      <w:r w:rsidR="002854D9" w:rsidRPr="002854D9">
        <w:t>(CMY scale only)</w:t>
      </w:r>
    </w:p>
    <w:p w14:paraId="59DFC619" w14:textId="77777777" w:rsidR="007670F2" w:rsidRDefault="006E25AF" w:rsidP="006E25AF">
      <w:pPr>
        <w:ind w:left="720"/>
      </w:pPr>
      <w:r w:rsidRPr="005E4F87">
        <w:t>To validate gray balance correction, the CMY-only scale shall be measured with a spectrophotometer and the a* and b* v</w:t>
      </w:r>
      <w:r w:rsidR="007670F2">
        <w:t>alues recorded for each patch.</w:t>
      </w:r>
    </w:p>
    <w:p w14:paraId="1FF249C9" w14:textId="3183CB32" w:rsidR="00036D59" w:rsidRDefault="00036D59" w:rsidP="00036D59">
      <w:pPr>
        <w:ind w:left="720"/>
      </w:pPr>
      <w:r>
        <w:t>The Delta F* (∆F*) error shall be computed for each patch compared to</w:t>
      </w:r>
      <w:r w:rsidRPr="00944C9C">
        <w:t xml:space="preserve"> target values on file with </w:t>
      </w:r>
      <w:r w:rsidR="001642EF" w:rsidRPr="00944C9C">
        <w:t>Idealliance</w:t>
      </w:r>
      <w:r>
        <w:t xml:space="preserve"> by the formula in </w:t>
      </w:r>
      <w:r w:rsidRPr="00594622">
        <w:rPr>
          <w:b/>
          <w:i/>
        </w:rPr>
        <w:t>Appendix B:</w:t>
      </w:r>
    </w:p>
    <w:p w14:paraId="2FE13ED5" w14:textId="19C8E84E" w:rsidR="00036D59" w:rsidRPr="005E4F87" w:rsidRDefault="00036D59" w:rsidP="00036D59">
      <w:pPr>
        <w:ind w:left="720"/>
      </w:pPr>
      <w:r>
        <w:t xml:space="preserve">The average and maximum ∆F* must not exceed the </w:t>
      </w:r>
      <w:r w:rsidR="001642EF">
        <w:t>Idealliance</w:t>
      </w:r>
      <w:r>
        <w:t xml:space="preserve"> Tolerance values in </w:t>
      </w:r>
      <w:r w:rsidRPr="00682224">
        <w:rPr>
          <w:b/>
        </w:rPr>
        <w:t>Table 2</w:t>
      </w:r>
      <w:r>
        <w:t>, below.</w:t>
      </w:r>
    </w:p>
    <w:p w14:paraId="24561D3C" w14:textId="33CB62DA" w:rsidR="00C234DA" w:rsidRDefault="00C234DA" w:rsidP="00467D12">
      <w:pPr>
        <w:pStyle w:val="Heading2"/>
      </w:pPr>
      <w:r w:rsidRPr="00200233">
        <w:t>I</w:t>
      </w:r>
      <w:r w:rsidR="001642EF">
        <w:t>dea</w:t>
      </w:r>
      <w:r w:rsidRPr="00200233">
        <w:t>lliance Tolerances</w:t>
      </w:r>
    </w:p>
    <w:p w14:paraId="16AC466B" w14:textId="77777777" w:rsidR="00C234DA" w:rsidRPr="000E7368" w:rsidRDefault="00C234DA" w:rsidP="00C234DA"/>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0"/>
        <w:gridCol w:w="1440"/>
        <w:gridCol w:w="1530"/>
      </w:tblGrid>
      <w:tr w:rsidR="00C234DA" w:rsidRPr="005E4F87" w14:paraId="106E83F3" w14:textId="77777777" w:rsidTr="00C234DA">
        <w:tc>
          <w:tcPr>
            <w:tcW w:w="2160" w:type="dxa"/>
            <w:shd w:val="solid" w:color="D9D9D9" w:fill="auto"/>
          </w:tcPr>
          <w:p w14:paraId="6A162327" w14:textId="77777777" w:rsidR="00C234DA" w:rsidRPr="005E4F87" w:rsidRDefault="00C234DA" w:rsidP="00C234DA">
            <w:r w:rsidRPr="005E4F87">
              <w:t>Metric</w:t>
            </w:r>
          </w:p>
        </w:tc>
        <w:tc>
          <w:tcPr>
            <w:tcW w:w="1440" w:type="dxa"/>
            <w:shd w:val="solid" w:color="D9D9D9" w:fill="auto"/>
          </w:tcPr>
          <w:p w14:paraId="6E4F766B" w14:textId="77777777" w:rsidR="00C234DA" w:rsidRPr="005E4F87" w:rsidRDefault="00C234DA" w:rsidP="00C234DA">
            <w:r w:rsidRPr="005E4F87">
              <w:t>Ave</w:t>
            </w:r>
            <w:r>
              <w:t>rage</w:t>
            </w:r>
          </w:p>
        </w:tc>
        <w:tc>
          <w:tcPr>
            <w:tcW w:w="1530" w:type="dxa"/>
            <w:shd w:val="solid" w:color="D9D9D9" w:fill="auto"/>
          </w:tcPr>
          <w:p w14:paraId="797ECC3F" w14:textId="77777777" w:rsidR="00C234DA" w:rsidRPr="005E4F87" w:rsidRDefault="00C234DA" w:rsidP="00C234DA">
            <w:r w:rsidRPr="005E4F87">
              <w:t>Max</w:t>
            </w:r>
            <w:r>
              <w:t>imum</w:t>
            </w:r>
          </w:p>
        </w:tc>
      </w:tr>
      <w:tr w:rsidR="00C234DA" w:rsidRPr="005E4F87" w14:paraId="365F6CA9" w14:textId="77777777" w:rsidTr="00C234DA">
        <w:tc>
          <w:tcPr>
            <w:tcW w:w="2160" w:type="dxa"/>
          </w:tcPr>
          <w:p w14:paraId="7AC8CCE0" w14:textId="111993CC" w:rsidR="00C234DA" w:rsidRPr="005E4F87" w:rsidRDefault="00682224" w:rsidP="00C234DA">
            <w:r>
              <w:t>∆</w:t>
            </w:r>
            <w:r w:rsidR="00C234DA" w:rsidRPr="005E4F87">
              <w:t>F*</w:t>
            </w:r>
            <w:r w:rsidR="00C234DA">
              <w:t xml:space="preserve"> (CMY only)</w:t>
            </w:r>
          </w:p>
        </w:tc>
        <w:tc>
          <w:tcPr>
            <w:tcW w:w="1440" w:type="dxa"/>
          </w:tcPr>
          <w:p w14:paraId="0468B825" w14:textId="77777777" w:rsidR="00C234DA" w:rsidRPr="005E4F87" w:rsidRDefault="00C234DA" w:rsidP="00C234DA">
            <w:r w:rsidRPr="00827665">
              <w:rPr>
                <w:u w:val="single"/>
              </w:rPr>
              <w:t>&lt;</w:t>
            </w:r>
            <w:r w:rsidRPr="005E4F87">
              <w:t>1.5</w:t>
            </w:r>
          </w:p>
        </w:tc>
        <w:tc>
          <w:tcPr>
            <w:tcW w:w="1530" w:type="dxa"/>
          </w:tcPr>
          <w:p w14:paraId="406D2634" w14:textId="77777777" w:rsidR="00C234DA" w:rsidRPr="005E4F87" w:rsidRDefault="00C234DA" w:rsidP="00C234DA">
            <w:r w:rsidRPr="00827665">
              <w:rPr>
                <w:u w:val="single"/>
              </w:rPr>
              <w:t>&lt;</w:t>
            </w:r>
            <w:r w:rsidRPr="005E4F87">
              <w:t>3</w:t>
            </w:r>
          </w:p>
        </w:tc>
      </w:tr>
      <w:tr w:rsidR="00C234DA" w:rsidRPr="005E4F87" w14:paraId="0F66117B" w14:textId="77777777" w:rsidTr="00C234DA">
        <w:tc>
          <w:tcPr>
            <w:tcW w:w="2160" w:type="dxa"/>
          </w:tcPr>
          <w:p w14:paraId="05D86C16" w14:textId="1D47BCFF" w:rsidR="00C234DA" w:rsidRPr="005E4F87" w:rsidRDefault="00682224" w:rsidP="00C234DA">
            <w:r>
              <w:t>∆</w:t>
            </w:r>
            <w:r w:rsidR="00C234DA" w:rsidRPr="005E4F87">
              <w:t>L*</w:t>
            </w:r>
            <w:r w:rsidR="00CF702E">
              <w:t xml:space="preserve"> (CMY &amp; K)</w:t>
            </w:r>
          </w:p>
        </w:tc>
        <w:tc>
          <w:tcPr>
            <w:tcW w:w="1440" w:type="dxa"/>
          </w:tcPr>
          <w:p w14:paraId="5AB72F8E" w14:textId="77777777" w:rsidR="00C234DA" w:rsidRPr="005E4F87" w:rsidRDefault="00C234DA" w:rsidP="00C234DA">
            <w:r w:rsidRPr="00827665">
              <w:rPr>
                <w:u w:val="single"/>
              </w:rPr>
              <w:t>&lt;</w:t>
            </w:r>
            <w:r>
              <w:t>1.5</w:t>
            </w:r>
          </w:p>
        </w:tc>
        <w:tc>
          <w:tcPr>
            <w:tcW w:w="1530" w:type="dxa"/>
          </w:tcPr>
          <w:p w14:paraId="40A830D4" w14:textId="77777777" w:rsidR="00C234DA" w:rsidRPr="005E4F87" w:rsidRDefault="00C234DA" w:rsidP="00C234DA">
            <w:r w:rsidRPr="00827665">
              <w:rPr>
                <w:u w:val="single"/>
              </w:rPr>
              <w:t>&lt;</w:t>
            </w:r>
            <w:r>
              <w:t>3</w:t>
            </w:r>
          </w:p>
        </w:tc>
      </w:tr>
    </w:tbl>
    <w:p w14:paraId="59B954B4" w14:textId="3C2A7773" w:rsidR="00C234DA" w:rsidRPr="00083376" w:rsidRDefault="00C234DA" w:rsidP="00146F5D">
      <w:pPr>
        <w:pStyle w:val="Caption"/>
      </w:pPr>
      <w:r w:rsidRPr="00083376">
        <w:t xml:space="preserve">Table 2: </w:t>
      </w:r>
      <w:r w:rsidR="001642EF" w:rsidRPr="00083376">
        <w:t>Idealliance</w:t>
      </w:r>
      <w:r w:rsidRPr="00083376">
        <w:t xml:space="preserve"> required tolerances</w:t>
      </w:r>
    </w:p>
    <w:p w14:paraId="6CCB9A3C" w14:textId="1CBD8152" w:rsidR="006E25AF" w:rsidRPr="005E4F87" w:rsidRDefault="006E25AF" w:rsidP="0095028E">
      <w:pPr>
        <w:sectPr w:rsidR="006E25AF" w:rsidRPr="005E4F87" w:rsidSect="006C7244">
          <w:type w:val="continuous"/>
          <w:pgSz w:w="12240" w:h="15840"/>
          <w:pgMar w:top="1152" w:right="1800" w:bottom="1440" w:left="1800" w:header="720" w:footer="720" w:gutter="0"/>
          <w:cols w:space="720"/>
          <w:docGrid w:linePitch="360"/>
        </w:sectPr>
      </w:pPr>
    </w:p>
    <w:p w14:paraId="00A79863" w14:textId="77777777" w:rsidR="00C41490" w:rsidRDefault="00C41490" w:rsidP="00C41490">
      <w:pPr>
        <w:pStyle w:val="appendixhead"/>
      </w:pPr>
      <w:r>
        <w:lastRenderedPageBreak/>
        <w:t>Appendix A:</w:t>
      </w:r>
    </w:p>
    <w:p w14:paraId="5562170A" w14:textId="77777777" w:rsidR="00542AA7" w:rsidRDefault="00542AA7" w:rsidP="00467D12">
      <w:pPr>
        <w:pStyle w:val="Heading2"/>
      </w:pPr>
      <w:r>
        <w:t>P2P patch values</w:t>
      </w:r>
    </w:p>
    <w:p w14:paraId="2F1AC7E1" w14:textId="662E0D3A" w:rsidR="00542AA7" w:rsidRPr="00542AA7" w:rsidRDefault="00542AA7" w:rsidP="00467D12">
      <w:pPr>
        <w:pStyle w:val="Heading4"/>
      </w:pPr>
      <w:r>
        <w:t>Column 4 (K only)</w:t>
      </w:r>
    </w:p>
    <w:p w14:paraId="3172D622" w14:textId="77777777" w:rsidR="00542AA7" w:rsidRPr="00C97F98" w:rsidRDefault="00542AA7" w:rsidP="00542AA7"/>
    <w:tbl>
      <w:tblPr>
        <w:tblW w:w="3080" w:type="dxa"/>
        <w:jc w:val="center"/>
        <w:tblBorders>
          <w:top w:val="single" w:sz="8" w:space="0" w:color="auto"/>
          <w:left w:val="single" w:sz="8" w:space="0" w:color="auto"/>
          <w:bottom w:val="single" w:sz="8" w:space="0" w:color="auto"/>
          <w:right w:val="single" w:sz="8" w:space="0" w:color="auto"/>
        </w:tblBorders>
        <w:tblCellMar>
          <w:left w:w="115" w:type="dxa"/>
          <w:right w:w="115" w:type="dxa"/>
        </w:tblCellMar>
        <w:tblLook w:val="0000" w:firstRow="0" w:lastRow="0" w:firstColumn="0" w:lastColumn="0" w:noHBand="0" w:noVBand="0"/>
      </w:tblPr>
      <w:tblGrid>
        <w:gridCol w:w="770"/>
        <w:gridCol w:w="770"/>
        <w:gridCol w:w="770"/>
        <w:gridCol w:w="770"/>
      </w:tblGrid>
      <w:tr w:rsidR="00542AA7" w:rsidRPr="00FF6722" w14:paraId="2CEC6011" w14:textId="77777777" w:rsidTr="00542AA7">
        <w:trPr>
          <w:trHeight w:val="144"/>
          <w:jc w:val="center"/>
        </w:trPr>
        <w:tc>
          <w:tcPr>
            <w:tcW w:w="770" w:type="dxa"/>
            <w:shd w:val="clear" w:color="auto" w:fill="auto"/>
            <w:vAlign w:val="bottom"/>
          </w:tcPr>
          <w:p w14:paraId="1D8DB690" w14:textId="77777777" w:rsidR="00542AA7" w:rsidRPr="00FF6722" w:rsidRDefault="00542AA7" w:rsidP="00542AA7">
            <w:pPr>
              <w:jc w:val="center"/>
              <w:rPr>
                <w:b/>
                <w:lang w:bidi="x-none"/>
              </w:rPr>
            </w:pPr>
            <w:r w:rsidRPr="00FF6722">
              <w:rPr>
                <w:b/>
                <w:lang w:bidi="x-none"/>
              </w:rPr>
              <w:t>C%</w:t>
            </w:r>
          </w:p>
        </w:tc>
        <w:tc>
          <w:tcPr>
            <w:tcW w:w="770" w:type="dxa"/>
            <w:shd w:val="clear" w:color="auto" w:fill="auto"/>
            <w:vAlign w:val="bottom"/>
          </w:tcPr>
          <w:p w14:paraId="60A16E7A" w14:textId="77777777" w:rsidR="00542AA7" w:rsidRPr="00FF6722" w:rsidRDefault="00542AA7" w:rsidP="00542AA7">
            <w:pPr>
              <w:jc w:val="center"/>
              <w:rPr>
                <w:b/>
                <w:lang w:bidi="x-none"/>
              </w:rPr>
            </w:pPr>
            <w:r w:rsidRPr="00FF6722">
              <w:rPr>
                <w:b/>
                <w:lang w:bidi="x-none"/>
              </w:rPr>
              <w:t>M%</w:t>
            </w:r>
          </w:p>
        </w:tc>
        <w:tc>
          <w:tcPr>
            <w:tcW w:w="770" w:type="dxa"/>
            <w:shd w:val="clear" w:color="auto" w:fill="auto"/>
            <w:vAlign w:val="bottom"/>
          </w:tcPr>
          <w:p w14:paraId="2C18390E" w14:textId="77777777" w:rsidR="00542AA7" w:rsidRPr="00FF6722" w:rsidRDefault="00542AA7" w:rsidP="00542AA7">
            <w:pPr>
              <w:jc w:val="center"/>
              <w:rPr>
                <w:b/>
                <w:lang w:bidi="x-none"/>
              </w:rPr>
            </w:pPr>
            <w:r w:rsidRPr="00FF6722">
              <w:rPr>
                <w:b/>
                <w:lang w:bidi="x-none"/>
              </w:rPr>
              <w:t>Y%</w:t>
            </w:r>
          </w:p>
        </w:tc>
        <w:tc>
          <w:tcPr>
            <w:tcW w:w="770" w:type="dxa"/>
            <w:vAlign w:val="bottom"/>
          </w:tcPr>
          <w:p w14:paraId="385195CB" w14:textId="77777777" w:rsidR="00542AA7" w:rsidRPr="00FF6722" w:rsidRDefault="00542AA7" w:rsidP="00542AA7">
            <w:pPr>
              <w:jc w:val="center"/>
              <w:rPr>
                <w:lang w:bidi="x-none"/>
              </w:rPr>
            </w:pPr>
            <w:r>
              <w:rPr>
                <w:b/>
                <w:lang w:bidi="x-none"/>
              </w:rPr>
              <w:t>K</w:t>
            </w:r>
            <w:r w:rsidRPr="00FF6722">
              <w:rPr>
                <w:b/>
                <w:lang w:bidi="x-none"/>
              </w:rPr>
              <w:t>%</w:t>
            </w:r>
          </w:p>
        </w:tc>
      </w:tr>
      <w:tr w:rsidR="00542AA7" w:rsidRPr="00FF6722" w14:paraId="4832D14F" w14:textId="77777777" w:rsidTr="00542AA7">
        <w:trPr>
          <w:trHeight w:val="144"/>
          <w:jc w:val="center"/>
        </w:trPr>
        <w:tc>
          <w:tcPr>
            <w:tcW w:w="770" w:type="dxa"/>
            <w:shd w:val="clear" w:color="auto" w:fill="auto"/>
          </w:tcPr>
          <w:p w14:paraId="032E456B" w14:textId="1870E611" w:rsidR="00542AA7" w:rsidRPr="00FF6722" w:rsidRDefault="00542AA7" w:rsidP="00542AA7">
            <w:pPr>
              <w:jc w:val="center"/>
              <w:rPr>
                <w:lang w:bidi="x-none"/>
              </w:rPr>
            </w:pPr>
            <w:r w:rsidRPr="00FF6722">
              <w:rPr>
                <w:lang w:bidi="x-none"/>
              </w:rPr>
              <w:t>0</w:t>
            </w:r>
          </w:p>
        </w:tc>
        <w:tc>
          <w:tcPr>
            <w:tcW w:w="770" w:type="dxa"/>
            <w:shd w:val="clear" w:color="auto" w:fill="auto"/>
          </w:tcPr>
          <w:p w14:paraId="2129DA29" w14:textId="35357F36" w:rsidR="00542AA7" w:rsidRPr="00FF6722" w:rsidRDefault="00542AA7" w:rsidP="00542AA7">
            <w:pPr>
              <w:jc w:val="center"/>
              <w:rPr>
                <w:lang w:bidi="x-none"/>
              </w:rPr>
            </w:pPr>
            <w:r w:rsidRPr="00FF6722">
              <w:rPr>
                <w:lang w:bidi="x-none"/>
              </w:rPr>
              <w:t>0</w:t>
            </w:r>
          </w:p>
        </w:tc>
        <w:tc>
          <w:tcPr>
            <w:tcW w:w="770" w:type="dxa"/>
            <w:shd w:val="clear" w:color="auto" w:fill="auto"/>
          </w:tcPr>
          <w:p w14:paraId="5DA32AE4" w14:textId="2F3A62A6" w:rsidR="00542AA7" w:rsidRPr="00FF6722" w:rsidRDefault="00542AA7" w:rsidP="00542AA7">
            <w:pPr>
              <w:jc w:val="center"/>
              <w:rPr>
                <w:lang w:bidi="x-none"/>
              </w:rPr>
            </w:pPr>
            <w:r w:rsidRPr="00FF6722">
              <w:rPr>
                <w:lang w:bidi="x-none"/>
              </w:rPr>
              <w:t>0</w:t>
            </w:r>
          </w:p>
        </w:tc>
        <w:tc>
          <w:tcPr>
            <w:tcW w:w="770" w:type="dxa"/>
          </w:tcPr>
          <w:p w14:paraId="57B14F0F" w14:textId="5F618642" w:rsidR="00542AA7" w:rsidRPr="00FF6722" w:rsidRDefault="00542AA7" w:rsidP="00542AA7">
            <w:pPr>
              <w:jc w:val="center"/>
              <w:rPr>
                <w:lang w:bidi="x-none"/>
              </w:rPr>
            </w:pPr>
            <w:r w:rsidRPr="00FF6722">
              <w:rPr>
                <w:lang w:bidi="x-none"/>
              </w:rPr>
              <w:t>0</w:t>
            </w:r>
          </w:p>
        </w:tc>
      </w:tr>
      <w:tr w:rsidR="00542AA7" w:rsidRPr="00FF6722" w14:paraId="1978F03F" w14:textId="77777777" w:rsidTr="00542AA7">
        <w:trPr>
          <w:trHeight w:val="144"/>
          <w:jc w:val="center"/>
        </w:trPr>
        <w:tc>
          <w:tcPr>
            <w:tcW w:w="770" w:type="dxa"/>
            <w:shd w:val="clear" w:color="auto" w:fill="CCFFFF"/>
            <w:vAlign w:val="bottom"/>
          </w:tcPr>
          <w:p w14:paraId="60949BE3" w14:textId="594DFC63" w:rsidR="00542AA7" w:rsidRPr="00FF6722" w:rsidRDefault="00542AA7" w:rsidP="00542AA7">
            <w:pPr>
              <w:jc w:val="center"/>
              <w:rPr>
                <w:lang w:bidi="x-none"/>
              </w:rPr>
            </w:pPr>
            <w:r>
              <w:rPr>
                <w:lang w:bidi="x-none"/>
              </w:rPr>
              <w:t>0</w:t>
            </w:r>
          </w:p>
        </w:tc>
        <w:tc>
          <w:tcPr>
            <w:tcW w:w="770" w:type="dxa"/>
            <w:shd w:val="clear" w:color="auto" w:fill="FF99CC"/>
            <w:vAlign w:val="bottom"/>
          </w:tcPr>
          <w:p w14:paraId="402D4BA6" w14:textId="141B5FFD" w:rsidR="00542AA7" w:rsidRPr="00FF6722" w:rsidRDefault="00542AA7" w:rsidP="00542AA7">
            <w:pPr>
              <w:jc w:val="center"/>
              <w:rPr>
                <w:lang w:bidi="x-none"/>
              </w:rPr>
            </w:pPr>
            <w:r>
              <w:rPr>
                <w:lang w:bidi="x-none"/>
              </w:rPr>
              <w:t>0</w:t>
            </w:r>
          </w:p>
        </w:tc>
        <w:tc>
          <w:tcPr>
            <w:tcW w:w="770" w:type="dxa"/>
            <w:shd w:val="clear" w:color="auto" w:fill="FFFF99"/>
            <w:vAlign w:val="bottom"/>
          </w:tcPr>
          <w:p w14:paraId="24BC06A2" w14:textId="5F320580"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5C573AD5" w14:textId="32168A6A" w:rsidR="00542AA7" w:rsidRPr="00FF6722" w:rsidRDefault="00542AA7" w:rsidP="00542AA7">
            <w:pPr>
              <w:jc w:val="center"/>
              <w:rPr>
                <w:lang w:bidi="x-none"/>
              </w:rPr>
            </w:pPr>
            <w:r w:rsidRPr="00542AA7">
              <w:rPr>
                <w:lang w:bidi="x-none"/>
              </w:rPr>
              <w:t>1.96</w:t>
            </w:r>
          </w:p>
        </w:tc>
      </w:tr>
      <w:tr w:rsidR="00542AA7" w:rsidRPr="00FF6722" w14:paraId="25C39E9A" w14:textId="77777777" w:rsidTr="00542AA7">
        <w:trPr>
          <w:trHeight w:val="144"/>
          <w:jc w:val="center"/>
        </w:trPr>
        <w:tc>
          <w:tcPr>
            <w:tcW w:w="770" w:type="dxa"/>
            <w:shd w:val="clear" w:color="auto" w:fill="auto"/>
          </w:tcPr>
          <w:p w14:paraId="4FA565D2" w14:textId="48D978B6" w:rsidR="00542AA7" w:rsidRPr="00FF6722" w:rsidRDefault="00542AA7" w:rsidP="00542AA7">
            <w:pPr>
              <w:jc w:val="center"/>
              <w:rPr>
                <w:lang w:bidi="x-none"/>
              </w:rPr>
            </w:pPr>
            <w:r w:rsidRPr="00FF6722">
              <w:rPr>
                <w:lang w:bidi="x-none"/>
              </w:rPr>
              <w:t>0</w:t>
            </w:r>
          </w:p>
        </w:tc>
        <w:tc>
          <w:tcPr>
            <w:tcW w:w="770" w:type="dxa"/>
            <w:shd w:val="clear" w:color="auto" w:fill="auto"/>
          </w:tcPr>
          <w:p w14:paraId="17400754" w14:textId="6241A70B" w:rsidR="00542AA7" w:rsidRPr="00FF6722" w:rsidRDefault="00542AA7" w:rsidP="00542AA7">
            <w:pPr>
              <w:jc w:val="center"/>
              <w:rPr>
                <w:lang w:bidi="x-none"/>
              </w:rPr>
            </w:pPr>
            <w:r w:rsidRPr="00FF6722">
              <w:rPr>
                <w:lang w:bidi="x-none"/>
              </w:rPr>
              <w:t>0</w:t>
            </w:r>
          </w:p>
        </w:tc>
        <w:tc>
          <w:tcPr>
            <w:tcW w:w="770" w:type="dxa"/>
            <w:shd w:val="clear" w:color="auto" w:fill="auto"/>
          </w:tcPr>
          <w:p w14:paraId="0E65D36C" w14:textId="208FD180" w:rsidR="00542AA7" w:rsidRPr="00FF6722" w:rsidRDefault="00542AA7" w:rsidP="00542AA7">
            <w:pPr>
              <w:jc w:val="center"/>
              <w:rPr>
                <w:lang w:bidi="x-none"/>
              </w:rPr>
            </w:pPr>
            <w:r w:rsidRPr="00FF6722">
              <w:rPr>
                <w:lang w:bidi="x-none"/>
              </w:rPr>
              <w:t>0</w:t>
            </w:r>
          </w:p>
        </w:tc>
        <w:tc>
          <w:tcPr>
            <w:tcW w:w="770" w:type="dxa"/>
            <w:vAlign w:val="bottom"/>
          </w:tcPr>
          <w:p w14:paraId="736C88A9" w14:textId="2574349A" w:rsidR="00542AA7" w:rsidRPr="00FF6722" w:rsidRDefault="00542AA7" w:rsidP="00542AA7">
            <w:pPr>
              <w:jc w:val="center"/>
              <w:rPr>
                <w:lang w:bidi="x-none"/>
              </w:rPr>
            </w:pPr>
            <w:r w:rsidRPr="00FF6722">
              <w:rPr>
                <w:lang w:bidi="x-none"/>
              </w:rPr>
              <w:t>3.92</w:t>
            </w:r>
          </w:p>
        </w:tc>
      </w:tr>
      <w:tr w:rsidR="00542AA7" w:rsidRPr="00FF6722" w14:paraId="79BBD8DA" w14:textId="77777777" w:rsidTr="00542AA7">
        <w:trPr>
          <w:trHeight w:val="144"/>
          <w:jc w:val="center"/>
        </w:trPr>
        <w:tc>
          <w:tcPr>
            <w:tcW w:w="770" w:type="dxa"/>
            <w:shd w:val="clear" w:color="auto" w:fill="CCFFFF"/>
            <w:vAlign w:val="bottom"/>
          </w:tcPr>
          <w:p w14:paraId="5CA8404D" w14:textId="34575374" w:rsidR="00542AA7" w:rsidRPr="00FF6722" w:rsidRDefault="00542AA7" w:rsidP="00542AA7">
            <w:pPr>
              <w:jc w:val="center"/>
              <w:rPr>
                <w:lang w:bidi="x-none"/>
              </w:rPr>
            </w:pPr>
            <w:r>
              <w:rPr>
                <w:lang w:bidi="x-none"/>
              </w:rPr>
              <w:t>0</w:t>
            </w:r>
          </w:p>
        </w:tc>
        <w:tc>
          <w:tcPr>
            <w:tcW w:w="770" w:type="dxa"/>
            <w:shd w:val="clear" w:color="auto" w:fill="FF99CC"/>
            <w:vAlign w:val="bottom"/>
          </w:tcPr>
          <w:p w14:paraId="3DB7B951" w14:textId="526EE85F" w:rsidR="00542AA7" w:rsidRPr="00FF6722" w:rsidRDefault="00542AA7" w:rsidP="00542AA7">
            <w:pPr>
              <w:jc w:val="center"/>
              <w:rPr>
                <w:lang w:bidi="x-none"/>
              </w:rPr>
            </w:pPr>
            <w:r>
              <w:rPr>
                <w:lang w:bidi="x-none"/>
              </w:rPr>
              <w:t>0</w:t>
            </w:r>
          </w:p>
        </w:tc>
        <w:tc>
          <w:tcPr>
            <w:tcW w:w="770" w:type="dxa"/>
            <w:shd w:val="clear" w:color="auto" w:fill="FFFF99"/>
            <w:vAlign w:val="bottom"/>
          </w:tcPr>
          <w:p w14:paraId="4C4D2F1E" w14:textId="60D2028E"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481571CE" w14:textId="47F620FF" w:rsidR="00542AA7" w:rsidRPr="00FF6722" w:rsidRDefault="00542AA7" w:rsidP="00542AA7">
            <w:pPr>
              <w:jc w:val="center"/>
              <w:rPr>
                <w:lang w:bidi="x-none"/>
              </w:rPr>
            </w:pPr>
            <w:r w:rsidRPr="00FF6722">
              <w:rPr>
                <w:lang w:bidi="x-none"/>
              </w:rPr>
              <w:t>5.88</w:t>
            </w:r>
          </w:p>
        </w:tc>
      </w:tr>
      <w:tr w:rsidR="00542AA7" w:rsidRPr="00FF6722" w14:paraId="2ACE8A9F" w14:textId="77777777" w:rsidTr="00542AA7">
        <w:trPr>
          <w:trHeight w:val="144"/>
          <w:jc w:val="center"/>
        </w:trPr>
        <w:tc>
          <w:tcPr>
            <w:tcW w:w="770" w:type="dxa"/>
            <w:shd w:val="clear" w:color="auto" w:fill="auto"/>
          </w:tcPr>
          <w:p w14:paraId="367B2E6A" w14:textId="705102A5" w:rsidR="00542AA7" w:rsidRPr="00FF6722" w:rsidRDefault="00542AA7" w:rsidP="00542AA7">
            <w:pPr>
              <w:jc w:val="center"/>
              <w:rPr>
                <w:lang w:bidi="x-none"/>
              </w:rPr>
            </w:pPr>
            <w:r w:rsidRPr="00FF6722">
              <w:rPr>
                <w:lang w:bidi="x-none"/>
              </w:rPr>
              <w:t>0</w:t>
            </w:r>
          </w:p>
        </w:tc>
        <w:tc>
          <w:tcPr>
            <w:tcW w:w="770" w:type="dxa"/>
            <w:shd w:val="clear" w:color="auto" w:fill="auto"/>
          </w:tcPr>
          <w:p w14:paraId="2EB05EDE" w14:textId="2D35217D" w:rsidR="00542AA7" w:rsidRPr="00FF6722" w:rsidRDefault="00542AA7" w:rsidP="00542AA7">
            <w:pPr>
              <w:jc w:val="center"/>
              <w:rPr>
                <w:lang w:bidi="x-none"/>
              </w:rPr>
            </w:pPr>
            <w:r w:rsidRPr="00FF6722">
              <w:rPr>
                <w:lang w:bidi="x-none"/>
              </w:rPr>
              <w:t>0</w:t>
            </w:r>
          </w:p>
        </w:tc>
        <w:tc>
          <w:tcPr>
            <w:tcW w:w="770" w:type="dxa"/>
            <w:shd w:val="clear" w:color="auto" w:fill="auto"/>
          </w:tcPr>
          <w:p w14:paraId="3F3433A1" w14:textId="1A4A4248" w:rsidR="00542AA7" w:rsidRPr="00FF6722" w:rsidRDefault="00542AA7" w:rsidP="00542AA7">
            <w:pPr>
              <w:jc w:val="center"/>
              <w:rPr>
                <w:lang w:bidi="x-none"/>
              </w:rPr>
            </w:pPr>
            <w:r w:rsidRPr="00FF6722">
              <w:rPr>
                <w:lang w:bidi="x-none"/>
              </w:rPr>
              <w:t>0</w:t>
            </w:r>
          </w:p>
        </w:tc>
        <w:tc>
          <w:tcPr>
            <w:tcW w:w="770" w:type="dxa"/>
            <w:vAlign w:val="bottom"/>
          </w:tcPr>
          <w:p w14:paraId="50AD7E2E" w14:textId="28BCB50B" w:rsidR="00542AA7" w:rsidRPr="00FF6722" w:rsidRDefault="00542AA7" w:rsidP="00542AA7">
            <w:pPr>
              <w:jc w:val="center"/>
              <w:rPr>
                <w:lang w:bidi="x-none"/>
              </w:rPr>
            </w:pPr>
            <w:r w:rsidRPr="00FF6722">
              <w:rPr>
                <w:lang w:bidi="x-none"/>
              </w:rPr>
              <w:t>7.84</w:t>
            </w:r>
          </w:p>
        </w:tc>
      </w:tr>
      <w:tr w:rsidR="00542AA7" w:rsidRPr="00FF6722" w14:paraId="751842E7" w14:textId="77777777" w:rsidTr="00542AA7">
        <w:trPr>
          <w:trHeight w:val="144"/>
          <w:jc w:val="center"/>
        </w:trPr>
        <w:tc>
          <w:tcPr>
            <w:tcW w:w="770" w:type="dxa"/>
            <w:shd w:val="clear" w:color="auto" w:fill="CCFFFF"/>
            <w:vAlign w:val="bottom"/>
          </w:tcPr>
          <w:p w14:paraId="50A8BC6B" w14:textId="0C804C50" w:rsidR="00542AA7" w:rsidRPr="00FF6722" w:rsidRDefault="00542AA7" w:rsidP="00542AA7">
            <w:pPr>
              <w:jc w:val="center"/>
              <w:rPr>
                <w:lang w:bidi="x-none"/>
              </w:rPr>
            </w:pPr>
            <w:r>
              <w:rPr>
                <w:lang w:bidi="x-none"/>
              </w:rPr>
              <w:t>0</w:t>
            </w:r>
          </w:p>
        </w:tc>
        <w:tc>
          <w:tcPr>
            <w:tcW w:w="770" w:type="dxa"/>
            <w:shd w:val="clear" w:color="auto" w:fill="FF99CC"/>
            <w:vAlign w:val="bottom"/>
          </w:tcPr>
          <w:p w14:paraId="745139B9" w14:textId="78C220F5" w:rsidR="00542AA7" w:rsidRPr="00FF6722" w:rsidRDefault="00542AA7" w:rsidP="00542AA7">
            <w:pPr>
              <w:jc w:val="center"/>
              <w:rPr>
                <w:lang w:bidi="x-none"/>
              </w:rPr>
            </w:pPr>
            <w:r>
              <w:rPr>
                <w:lang w:bidi="x-none"/>
              </w:rPr>
              <w:t>0</w:t>
            </w:r>
          </w:p>
        </w:tc>
        <w:tc>
          <w:tcPr>
            <w:tcW w:w="770" w:type="dxa"/>
            <w:shd w:val="clear" w:color="auto" w:fill="FFFF99"/>
            <w:vAlign w:val="bottom"/>
          </w:tcPr>
          <w:p w14:paraId="6B205AC7" w14:textId="28E39E3E"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534765C6" w14:textId="6CB4BED4" w:rsidR="00542AA7" w:rsidRPr="00FF6722" w:rsidRDefault="00542AA7" w:rsidP="00542AA7">
            <w:pPr>
              <w:jc w:val="center"/>
              <w:rPr>
                <w:lang w:bidi="x-none"/>
              </w:rPr>
            </w:pPr>
            <w:r w:rsidRPr="00FF6722">
              <w:rPr>
                <w:lang w:bidi="x-none"/>
              </w:rPr>
              <w:t>10.2</w:t>
            </w:r>
          </w:p>
        </w:tc>
      </w:tr>
      <w:tr w:rsidR="00542AA7" w:rsidRPr="00FF6722" w14:paraId="1C9BAC3B" w14:textId="77777777" w:rsidTr="00542AA7">
        <w:trPr>
          <w:trHeight w:val="144"/>
          <w:jc w:val="center"/>
        </w:trPr>
        <w:tc>
          <w:tcPr>
            <w:tcW w:w="770" w:type="dxa"/>
            <w:shd w:val="clear" w:color="auto" w:fill="auto"/>
          </w:tcPr>
          <w:p w14:paraId="3ECBA04A" w14:textId="5C6CC0A5" w:rsidR="00542AA7" w:rsidRPr="00FF6722" w:rsidRDefault="00542AA7" w:rsidP="00542AA7">
            <w:pPr>
              <w:jc w:val="center"/>
              <w:rPr>
                <w:lang w:bidi="x-none"/>
              </w:rPr>
            </w:pPr>
            <w:r w:rsidRPr="00FF6722">
              <w:rPr>
                <w:lang w:bidi="x-none"/>
              </w:rPr>
              <w:t>0</w:t>
            </w:r>
          </w:p>
        </w:tc>
        <w:tc>
          <w:tcPr>
            <w:tcW w:w="770" w:type="dxa"/>
            <w:shd w:val="clear" w:color="auto" w:fill="auto"/>
          </w:tcPr>
          <w:p w14:paraId="24D100D7" w14:textId="60AC8EBD" w:rsidR="00542AA7" w:rsidRPr="00FF6722" w:rsidRDefault="00542AA7" w:rsidP="00542AA7">
            <w:pPr>
              <w:jc w:val="center"/>
              <w:rPr>
                <w:lang w:bidi="x-none"/>
              </w:rPr>
            </w:pPr>
            <w:r w:rsidRPr="00FF6722">
              <w:rPr>
                <w:lang w:bidi="x-none"/>
              </w:rPr>
              <w:t>0</w:t>
            </w:r>
          </w:p>
        </w:tc>
        <w:tc>
          <w:tcPr>
            <w:tcW w:w="770" w:type="dxa"/>
            <w:shd w:val="clear" w:color="auto" w:fill="auto"/>
          </w:tcPr>
          <w:p w14:paraId="0119F64D" w14:textId="424E354E" w:rsidR="00542AA7" w:rsidRPr="00FF6722" w:rsidRDefault="00542AA7" w:rsidP="00542AA7">
            <w:pPr>
              <w:jc w:val="center"/>
              <w:rPr>
                <w:lang w:bidi="x-none"/>
              </w:rPr>
            </w:pPr>
            <w:r w:rsidRPr="00FF6722">
              <w:rPr>
                <w:lang w:bidi="x-none"/>
              </w:rPr>
              <w:t>0</w:t>
            </w:r>
          </w:p>
        </w:tc>
        <w:tc>
          <w:tcPr>
            <w:tcW w:w="770" w:type="dxa"/>
            <w:vAlign w:val="bottom"/>
          </w:tcPr>
          <w:p w14:paraId="5C0A924E" w14:textId="2A6744DF" w:rsidR="00542AA7" w:rsidRPr="00FF6722" w:rsidRDefault="00542AA7" w:rsidP="00542AA7">
            <w:pPr>
              <w:jc w:val="center"/>
              <w:rPr>
                <w:lang w:bidi="x-none"/>
              </w:rPr>
            </w:pPr>
            <w:r w:rsidRPr="00FF6722">
              <w:rPr>
                <w:lang w:bidi="x-none"/>
              </w:rPr>
              <w:t>14.9</w:t>
            </w:r>
          </w:p>
        </w:tc>
      </w:tr>
      <w:tr w:rsidR="00542AA7" w:rsidRPr="00FF6722" w14:paraId="7C25CB16" w14:textId="77777777" w:rsidTr="00542AA7">
        <w:trPr>
          <w:trHeight w:val="144"/>
          <w:jc w:val="center"/>
        </w:trPr>
        <w:tc>
          <w:tcPr>
            <w:tcW w:w="770" w:type="dxa"/>
            <w:shd w:val="clear" w:color="auto" w:fill="CCFFFF"/>
            <w:vAlign w:val="bottom"/>
          </w:tcPr>
          <w:p w14:paraId="1B2B15F9" w14:textId="293E54E1" w:rsidR="00542AA7" w:rsidRPr="00FF6722" w:rsidRDefault="00542AA7" w:rsidP="00542AA7">
            <w:pPr>
              <w:jc w:val="center"/>
              <w:rPr>
                <w:lang w:bidi="x-none"/>
              </w:rPr>
            </w:pPr>
            <w:r>
              <w:rPr>
                <w:lang w:bidi="x-none"/>
              </w:rPr>
              <w:t>0</w:t>
            </w:r>
          </w:p>
        </w:tc>
        <w:tc>
          <w:tcPr>
            <w:tcW w:w="770" w:type="dxa"/>
            <w:shd w:val="clear" w:color="auto" w:fill="FF99CC"/>
            <w:vAlign w:val="bottom"/>
          </w:tcPr>
          <w:p w14:paraId="5EF6B052" w14:textId="56C5B974" w:rsidR="00542AA7" w:rsidRPr="00FF6722" w:rsidRDefault="00542AA7" w:rsidP="00542AA7">
            <w:pPr>
              <w:jc w:val="center"/>
              <w:rPr>
                <w:lang w:bidi="x-none"/>
              </w:rPr>
            </w:pPr>
            <w:r>
              <w:rPr>
                <w:lang w:bidi="x-none"/>
              </w:rPr>
              <w:t>0</w:t>
            </w:r>
          </w:p>
        </w:tc>
        <w:tc>
          <w:tcPr>
            <w:tcW w:w="770" w:type="dxa"/>
            <w:shd w:val="clear" w:color="auto" w:fill="FFFF99"/>
            <w:vAlign w:val="bottom"/>
          </w:tcPr>
          <w:p w14:paraId="38D722D7" w14:textId="6DEE5B6F"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30605EE9" w14:textId="193504B8" w:rsidR="00542AA7" w:rsidRPr="00FF6722" w:rsidRDefault="00542AA7" w:rsidP="00542AA7">
            <w:pPr>
              <w:jc w:val="center"/>
              <w:rPr>
                <w:lang w:bidi="x-none"/>
              </w:rPr>
            </w:pPr>
            <w:r w:rsidRPr="00FF6722">
              <w:rPr>
                <w:lang w:bidi="x-none"/>
              </w:rPr>
              <w:t>20</w:t>
            </w:r>
          </w:p>
        </w:tc>
      </w:tr>
      <w:tr w:rsidR="00542AA7" w:rsidRPr="00FF6722" w14:paraId="04DDE836" w14:textId="77777777" w:rsidTr="00542AA7">
        <w:trPr>
          <w:trHeight w:val="144"/>
          <w:jc w:val="center"/>
        </w:trPr>
        <w:tc>
          <w:tcPr>
            <w:tcW w:w="770" w:type="dxa"/>
            <w:shd w:val="clear" w:color="auto" w:fill="auto"/>
          </w:tcPr>
          <w:p w14:paraId="50ECFEE8" w14:textId="72D30B1D" w:rsidR="00542AA7" w:rsidRPr="00FF6722" w:rsidRDefault="00542AA7" w:rsidP="00542AA7">
            <w:pPr>
              <w:jc w:val="center"/>
              <w:rPr>
                <w:lang w:bidi="x-none"/>
              </w:rPr>
            </w:pPr>
            <w:r w:rsidRPr="00FF6722">
              <w:rPr>
                <w:lang w:bidi="x-none"/>
              </w:rPr>
              <w:t>0</w:t>
            </w:r>
          </w:p>
        </w:tc>
        <w:tc>
          <w:tcPr>
            <w:tcW w:w="770" w:type="dxa"/>
            <w:shd w:val="clear" w:color="auto" w:fill="auto"/>
          </w:tcPr>
          <w:p w14:paraId="2EFBE41F" w14:textId="12AC4B67" w:rsidR="00542AA7" w:rsidRPr="00FF6722" w:rsidRDefault="00542AA7" w:rsidP="00542AA7">
            <w:pPr>
              <w:jc w:val="center"/>
              <w:rPr>
                <w:lang w:bidi="x-none"/>
              </w:rPr>
            </w:pPr>
            <w:r w:rsidRPr="00FF6722">
              <w:rPr>
                <w:lang w:bidi="x-none"/>
              </w:rPr>
              <w:t>0</w:t>
            </w:r>
          </w:p>
        </w:tc>
        <w:tc>
          <w:tcPr>
            <w:tcW w:w="770" w:type="dxa"/>
            <w:shd w:val="clear" w:color="auto" w:fill="auto"/>
          </w:tcPr>
          <w:p w14:paraId="106B4AF0" w14:textId="05404818" w:rsidR="00542AA7" w:rsidRPr="00FF6722" w:rsidRDefault="00542AA7" w:rsidP="00542AA7">
            <w:pPr>
              <w:jc w:val="center"/>
              <w:rPr>
                <w:lang w:bidi="x-none"/>
              </w:rPr>
            </w:pPr>
            <w:r w:rsidRPr="00FF6722">
              <w:rPr>
                <w:lang w:bidi="x-none"/>
              </w:rPr>
              <w:t>0</w:t>
            </w:r>
          </w:p>
        </w:tc>
        <w:tc>
          <w:tcPr>
            <w:tcW w:w="770" w:type="dxa"/>
            <w:vAlign w:val="bottom"/>
          </w:tcPr>
          <w:p w14:paraId="7F268C36" w14:textId="61EB7CD5" w:rsidR="00542AA7" w:rsidRPr="00FF6722" w:rsidRDefault="00542AA7" w:rsidP="00542AA7">
            <w:pPr>
              <w:jc w:val="center"/>
              <w:rPr>
                <w:lang w:bidi="x-none"/>
              </w:rPr>
            </w:pPr>
            <w:r w:rsidRPr="00FF6722">
              <w:rPr>
                <w:lang w:bidi="x-none"/>
              </w:rPr>
              <w:t>25.1</w:t>
            </w:r>
          </w:p>
        </w:tc>
      </w:tr>
      <w:tr w:rsidR="00542AA7" w:rsidRPr="00FF6722" w14:paraId="12B663EC" w14:textId="77777777" w:rsidTr="00542AA7">
        <w:trPr>
          <w:trHeight w:val="144"/>
          <w:jc w:val="center"/>
        </w:trPr>
        <w:tc>
          <w:tcPr>
            <w:tcW w:w="770" w:type="dxa"/>
            <w:shd w:val="clear" w:color="auto" w:fill="CCFFFF"/>
            <w:vAlign w:val="bottom"/>
          </w:tcPr>
          <w:p w14:paraId="50220501" w14:textId="2C1CE4A8" w:rsidR="00542AA7" w:rsidRPr="00FF6722" w:rsidRDefault="00542AA7" w:rsidP="00542AA7">
            <w:pPr>
              <w:jc w:val="center"/>
              <w:rPr>
                <w:lang w:bidi="x-none"/>
              </w:rPr>
            </w:pPr>
            <w:r>
              <w:rPr>
                <w:lang w:bidi="x-none"/>
              </w:rPr>
              <w:t>0</w:t>
            </w:r>
          </w:p>
        </w:tc>
        <w:tc>
          <w:tcPr>
            <w:tcW w:w="770" w:type="dxa"/>
            <w:shd w:val="clear" w:color="auto" w:fill="FF99CC"/>
            <w:vAlign w:val="bottom"/>
          </w:tcPr>
          <w:p w14:paraId="4426E9B4" w14:textId="757504B4" w:rsidR="00542AA7" w:rsidRPr="00FF6722" w:rsidRDefault="00542AA7" w:rsidP="00542AA7">
            <w:pPr>
              <w:jc w:val="center"/>
              <w:rPr>
                <w:lang w:bidi="x-none"/>
              </w:rPr>
            </w:pPr>
            <w:r>
              <w:rPr>
                <w:lang w:bidi="x-none"/>
              </w:rPr>
              <w:t>0</w:t>
            </w:r>
          </w:p>
        </w:tc>
        <w:tc>
          <w:tcPr>
            <w:tcW w:w="770" w:type="dxa"/>
            <w:shd w:val="clear" w:color="auto" w:fill="FFFF99"/>
            <w:vAlign w:val="bottom"/>
          </w:tcPr>
          <w:p w14:paraId="23E07F46" w14:textId="25C64C69"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767F74F2" w14:textId="6376BB71" w:rsidR="00542AA7" w:rsidRPr="00FF6722" w:rsidRDefault="00542AA7" w:rsidP="00542AA7">
            <w:pPr>
              <w:jc w:val="center"/>
              <w:rPr>
                <w:lang w:bidi="x-none"/>
              </w:rPr>
            </w:pPr>
            <w:r w:rsidRPr="00FF6722">
              <w:rPr>
                <w:lang w:bidi="x-none"/>
              </w:rPr>
              <w:t>30.2</w:t>
            </w:r>
          </w:p>
        </w:tc>
      </w:tr>
      <w:tr w:rsidR="00542AA7" w:rsidRPr="00FF6722" w14:paraId="13E3692C" w14:textId="77777777" w:rsidTr="00542AA7">
        <w:trPr>
          <w:trHeight w:val="144"/>
          <w:jc w:val="center"/>
        </w:trPr>
        <w:tc>
          <w:tcPr>
            <w:tcW w:w="770" w:type="dxa"/>
            <w:shd w:val="clear" w:color="auto" w:fill="auto"/>
          </w:tcPr>
          <w:p w14:paraId="7A241FE2" w14:textId="2AC3C9C9" w:rsidR="00542AA7" w:rsidRPr="00FF6722" w:rsidRDefault="00542AA7" w:rsidP="00542AA7">
            <w:pPr>
              <w:jc w:val="center"/>
              <w:rPr>
                <w:lang w:bidi="x-none"/>
              </w:rPr>
            </w:pPr>
            <w:r w:rsidRPr="00FF6722">
              <w:rPr>
                <w:lang w:bidi="x-none"/>
              </w:rPr>
              <w:t>0</w:t>
            </w:r>
          </w:p>
        </w:tc>
        <w:tc>
          <w:tcPr>
            <w:tcW w:w="770" w:type="dxa"/>
            <w:shd w:val="clear" w:color="auto" w:fill="auto"/>
          </w:tcPr>
          <w:p w14:paraId="56E8286C" w14:textId="7D2BD7BA" w:rsidR="00542AA7" w:rsidRPr="00FF6722" w:rsidRDefault="00542AA7" w:rsidP="00542AA7">
            <w:pPr>
              <w:jc w:val="center"/>
              <w:rPr>
                <w:lang w:bidi="x-none"/>
              </w:rPr>
            </w:pPr>
            <w:r w:rsidRPr="00FF6722">
              <w:rPr>
                <w:lang w:bidi="x-none"/>
              </w:rPr>
              <w:t>0</w:t>
            </w:r>
          </w:p>
        </w:tc>
        <w:tc>
          <w:tcPr>
            <w:tcW w:w="770" w:type="dxa"/>
            <w:shd w:val="clear" w:color="auto" w:fill="auto"/>
          </w:tcPr>
          <w:p w14:paraId="236392E0" w14:textId="720B0A0C" w:rsidR="00542AA7" w:rsidRPr="00FF6722" w:rsidRDefault="00542AA7" w:rsidP="00542AA7">
            <w:pPr>
              <w:jc w:val="center"/>
              <w:rPr>
                <w:lang w:bidi="x-none"/>
              </w:rPr>
            </w:pPr>
            <w:r w:rsidRPr="00FF6722">
              <w:rPr>
                <w:lang w:bidi="x-none"/>
              </w:rPr>
              <w:t>0</w:t>
            </w:r>
          </w:p>
        </w:tc>
        <w:tc>
          <w:tcPr>
            <w:tcW w:w="770" w:type="dxa"/>
            <w:vAlign w:val="bottom"/>
          </w:tcPr>
          <w:p w14:paraId="3E065479" w14:textId="26A4EFBE" w:rsidR="00542AA7" w:rsidRPr="00FF6722" w:rsidRDefault="00542AA7" w:rsidP="00542AA7">
            <w:pPr>
              <w:jc w:val="center"/>
              <w:rPr>
                <w:lang w:bidi="x-none"/>
              </w:rPr>
            </w:pPr>
            <w:r w:rsidRPr="00FF6722">
              <w:rPr>
                <w:lang w:bidi="x-none"/>
              </w:rPr>
              <w:t>34.9</w:t>
            </w:r>
          </w:p>
        </w:tc>
      </w:tr>
      <w:tr w:rsidR="00542AA7" w:rsidRPr="00FF6722" w14:paraId="18D82732" w14:textId="77777777" w:rsidTr="00542AA7">
        <w:trPr>
          <w:trHeight w:val="144"/>
          <w:jc w:val="center"/>
        </w:trPr>
        <w:tc>
          <w:tcPr>
            <w:tcW w:w="770" w:type="dxa"/>
            <w:shd w:val="clear" w:color="auto" w:fill="CCFFFF"/>
            <w:vAlign w:val="bottom"/>
          </w:tcPr>
          <w:p w14:paraId="16466DD7" w14:textId="71306D29" w:rsidR="00542AA7" w:rsidRPr="00FF6722" w:rsidRDefault="00542AA7" w:rsidP="00542AA7">
            <w:pPr>
              <w:jc w:val="center"/>
              <w:rPr>
                <w:lang w:bidi="x-none"/>
              </w:rPr>
            </w:pPr>
            <w:r>
              <w:rPr>
                <w:lang w:bidi="x-none"/>
              </w:rPr>
              <w:t>0</w:t>
            </w:r>
          </w:p>
        </w:tc>
        <w:tc>
          <w:tcPr>
            <w:tcW w:w="770" w:type="dxa"/>
            <w:shd w:val="clear" w:color="auto" w:fill="FF99CC"/>
            <w:vAlign w:val="bottom"/>
          </w:tcPr>
          <w:p w14:paraId="26F09511" w14:textId="159B0E68" w:rsidR="00542AA7" w:rsidRPr="00FF6722" w:rsidRDefault="00542AA7" w:rsidP="00542AA7">
            <w:pPr>
              <w:jc w:val="center"/>
              <w:rPr>
                <w:lang w:bidi="x-none"/>
              </w:rPr>
            </w:pPr>
            <w:r>
              <w:rPr>
                <w:lang w:bidi="x-none"/>
              </w:rPr>
              <w:t>0</w:t>
            </w:r>
          </w:p>
        </w:tc>
        <w:tc>
          <w:tcPr>
            <w:tcW w:w="770" w:type="dxa"/>
            <w:shd w:val="clear" w:color="auto" w:fill="FFFF99"/>
            <w:vAlign w:val="bottom"/>
          </w:tcPr>
          <w:p w14:paraId="76937D59" w14:textId="49449725"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133CA6D0" w14:textId="05AEBF39" w:rsidR="00542AA7" w:rsidRPr="00FF6722" w:rsidRDefault="00542AA7" w:rsidP="00542AA7">
            <w:pPr>
              <w:jc w:val="center"/>
              <w:rPr>
                <w:lang w:bidi="x-none"/>
              </w:rPr>
            </w:pPr>
            <w:r w:rsidRPr="00FF6722">
              <w:rPr>
                <w:lang w:bidi="x-none"/>
              </w:rPr>
              <w:t>40</w:t>
            </w:r>
          </w:p>
        </w:tc>
      </w:tr>
      <w:tr w:rsidR="00542AA7" w:rsidRPr="00FF6722" w14:paraId="36349C90" w14:textId="77777777" w:rsidTr="00542AA7">
        <w:trPr>
          <w:trHeight w:val="144"/>
          <w:jc w:val="center"/>
        </w:trPr>
        <w:tc>
          <w:tcPr>
            <w:tcW w:w="770" w:type="dxa"/>
            <w:shd w:val="clear" w:color="auto" w:fill="auto"/>
          </w:tcPr>
          <w:p w14:paraId="37647465" w14:textId="37FF397D" w:rsidR="00542AA7" w:rsidRPr="00FF6722" w:rsidRDefault="00542AA7" w:rsidP="00542AA7">
            <w:pPr>
              <w:jc w:val="center"/>
              <w:rPr>
                <w:lang w:bidi="x-none"/>
              </w:rPr>
            </w:pPr>
            <w:r w:rsidRPr="00FF6722">
              <w:rPr>
                <w:lang w:bidi="x-none"/>
              </w:rPr>
              <w:t>0</w:t>
            </w:r>
          </w:p>
        </w:tc>
        <w:tc>
          <w:tcPr>
            <w:tcW w:w="770" w:type="dxa"/>
            <w:shd w:val="clear" w:color="auto" w:fill="auto"/>
          </w:tcPr>
          <w:p w14:paraId="23D20841" w14:textId="08306532" w:rsidR="00542AA7" w:rsidRPr="00FF6722" w:rsidRDefault="00542AA7" w:rsidP="00542AA7">
            <w:pPr>
              <w:jc w:val="center"/>
              <w:rPr>
                <w:lang w:bidi="x-none"/>
              </w:rPr>
            </w:pPr>
            <w:r w:rsidRPr="00FF6722">
              <w:rPr>
                <w:lang w:bidi="x-none"/>
              </w:rPr>
              <w:t>0</w:t>
            </w:r>
          </w:p>
        </w:tc>
        <w:tc>
          <w:tcPr>
            <w:tcW w:w="770" w:type="dxa"/>
            <w:shd w:val="clear" w:color="auto" w:fill="auto"/>
          </w:tcPr>
          <w:p w14:paraId="4B937CFB" w14:textId="7F9B3601" w:rsidR="00542AA7" w:rsidRPr="00FF6722" w:rsidRDefault="00542AA7" w:rsidP="00542AA7">
            <w:pPr>
              <w:jc w:val="center"/>
              <w:rPr>
                <w:lang w:bidi="x-none"/>
              </w:rPr>
            </w:pPr>
            <w:r w:rsidRPr="00FF6722">
              <w:rPr>
                <w:lang w:bidi="x-none"/>
              </w:rPr>
              <w:t>0</w:t>
            </w:r>
          </w:p>
        </w:tc>
        <w:tc>
          <w:tcPr>
            <w:tcW w:w="770" w:type="dxa"/>
            <w:vAlign w:val="bottom"/>
          </w:tcPr>
          <w:p w14:paraId="742E7B14" w14:textId="13EE5179" w:rsidR="00542AA7" w:rsidRPr="00FF6722" w:rsidRDefault="00542AA7" w:rsidP="00542AA7">
            <w:pPr>
              <w:jc w:val="center"/>
              <w:rPr>
                <w:lang w:bidi="x-none"/>
              </w:rPr>
            </w:pPr>
            <w:r w:rsidRPr="00FF6722">
              <w:rPr>
                <w:lang w:bidi="x-none"/>
              </w:rPr>
              <w:t>45.1</w:t>
            </w:r>
          </w:p>
        </w:tc>
      </w:tr>
      <w:tr w:rsidR="00542AA7" w:rsidRPr="00FF6722" w14:paraId="32592376" w14:textId="77777777" w:rsidTr="00542AA7">
        <w:trPr>
          <w:trHeight w:val="144"/>
          <w:jc w:val="center"/>
        </w:trPr>
        <w:tc>
          <w:tcPr>
            <w:tcW w:w="770" w:type="dxa"/>
            <w:shd w:val="clear" w:color="auto" w:fill="CCFFFF"/>
            <w:vAlign w:val="bottom"/>
          </w:tcPr>
          <w:p w14:paraId="1B67022D" w14:textId="10E9EDA4" w:rsidR="00542AA7" w:rsidRPr="00FF6722" w:rsidRDefault="00542AA7" w:rsidP="00542AA7">
            <w:pPr>
              <w:jc w:val="center"/>
              <w:rPr>
                <w:lang w:bidi="x-none"/>
              </w:rPr>
            </w:pPr>
            <w:r>
              <w:rPr>
                <w:lang w:bidi="x-none"/>
              </w:rPr>
              <w:t>0</w:t>
            </w:r>
          </w:p>
        </w:tc>
        <w:tc>
          <w:tcPr>
            <w:tcW w:w="770" w:type="dxa"/>
            <w:shd w:val="clear" w:color="auto" w:fill="FF99CC"/>
            <w:vAlign w:val="bottom"/>
          </w:tcPr>
          <w:p w14:paraId="59CB4539" w14:textId="76AD2417" w:rsidR="00542AA7" w:rsidRPr="00FF6722" w:rsidRDefault="00542AA7" w:rsidP="00542AA7">
            <w:pPr>
              <w:jc w:val="center"/>
              <w:rPr>
                <w:b/>
                <w:lang w:bidi="x-none"/>
              </w:rPr>
            </w:pPr>
            <w:r>
              <w:rPr>
                <w:lang w:bidi="x-none"/>
              </w:rPr>
              <w:t>0</w:t>
            </w:r>
          </w:p>
        </w:tc>
        <w:tc>
          <w:tcPr>
            <w:tcW w:w="770" w:type="dxa"/>
            <w:shd w:val="clear" w:color="auto" w:fill="FFFF99"/>
            <w:vAlign w:val="bottom"/>
          </w:tcPr>
          <w:p w14:paraId="662B837B" w14:textId="752BD647"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2E5FF57A" w14:textId="10802680" w:rsidR="00542AA7" w:rsidRPr="00FF6722" w:rsidRDefault="00542AA7" w:rsidP="00542AA7">
            <w:pPr>
              <w:jc w:val="center"/>
              <w:rPr>
                <w:lang w:bidi="x-none"/>
              </w:rPr>
            </w:pPr>
            <w:r w:rsidRPr="00FF6722">
              <w:rPr>
                <w:lang w:bidi="x-none"/>
              </w:rPr>
              <w:t>49.8</w:t>
            </w:r>
          </w:p>
        </w:tc>
      </w:tr>
      <w:tr w:rsidR="00542AA7" w:rsidRPr="00FF6722" w14:paraId="602AA996" w14:textId="77777777" w:rsidTr="00542AA7">
        <w:trPr>
          <w:trHeight w:val="144"/>
          <w:jc w:val="center"/>
        </w:trPr>
        <w:tc>
          <w:tcPr>
            <w:tcW w:w="770" w:type="dxa"/>
            <w:shd w:val="clear" w:color="auto" w:fill="auto"/>
          </w:tcPr>
          <w:p w14:paraId="20B22D0D" w14:textId="502F1A97" w:rsidR="00542AA7" w:rsidRPr="00FF6722" w:rsidRDefault="00542AA7" w:rsidP="00542AA7">
            <w:pPr>
              <w:jc w:val="center"/>
              <w:rPr>
                <w:lang w:bidi="x-none"/>
              </w:rPr>
            </w:pPr>
            <w:r w:rsidRPr="00FF6722">
              <w:rPr>
                <w:lang w:bidi="x-none"/>
              </w:rPr>
              <w:t>0</w:t>
            </w:r>
          </w:p>
        </w:tc>
        <w:tc>
          <w:tcPr>
            <w:tcW w:w="770" w:type="dxa"/>
            <w:shd w:val="clear" w:color="auto" w:fill="auto"/>
          </w:tcPr>
          <w:p w14:paraId="6E7714A0" w14:textId="3B459376" w:rsidR="00542AA7" w:rsidRPr="00FF6722" w:rsidRDefault="00542AA7" w:rsidP="00542AA7">
            <w:pPr>
              <w:jc w:val="center"/>
              <w:rPr>
                <w:lang w:bidi="x-none"/>
              </w:rPr>
            </w:pPr>
            <w:r w:rsidRPr="00FF6722">
              <w:rPr>
                <w:lang w:bidi="x-none"/>
              </w:rPr>
              <w:t>0</w:t>
            </w:r>
          </w:p>
        </w:tc>
        <w:tc>
          <w:tcPr>
            <w:tcW w:w="770" w:type="dxa"/>
            <w:shd w:val="clear" w:color="auto" w:fill="auto"/>
          </w:tcPr>
          <w:p w14:paraId="695F3436" w14:textId="7A9DF9C5" w:rsidR="00542AA7" w:rsidRPr="00FF6722" w:rsidRDefault="00542AA7" w:rsidP="00542AA7">
            <w:pPr>
              <w:jc w:val="center"/>
              <w:rPr>
                <w:lang w:bidi="x-none"/>
              </w:rPr>
            </w:pPr>
            <w:r w:rsidRPr="00FF6722">
              <w:rPr>
                <w:lang w:bidi="x-none"/>
              </w:rPr>
              <w:t>0</w:t>
            </w:r>
          </w:p>
        </w:tc>
        <w:tc>
          <w:tcPr>
            <w:tcW w:w="770" w:type="dxa"/>
            <w:vAlign w:val="bottom"/>
          </w:tcPr>
          <w:p w14:paraId="0462DFA7" w14:textId="1A746B88" w:rsidR="00542AA7" w:rsidRPr="00FF6722" w:rsidRDefault="00542AA7" w:rsidP="00542AA7">
            <w:pPr>
              <w:jc w:val="center"/>
              <w:rPr>
                <w:lang w:bidi="x-none"/>
              </w:rPr>
            </w:pPr>
            <w:r w:rsidRPr="00FF6722">
              <w:rPr>
                <w:lang w:bidi="x-none"/>
              </w:rPr>
              <w:t>54.9</w:t>
            </w:r>
          </w:p>
        </w:tc>
      </w:tr>
      <w:tr w:rsidR="00542AA7" w:rsidRPr="00FF6722" w14:paraId="6BB805AD" w14:textId="77777777" w:rsidTr="00542AA7">
        <w:trPr>
          <w:trHeight w:val="144"/>
          <w:jc w:val="center"/>
        </w:trPr>
        <w:tc>
          <w:tcPr>
            <w:tcW w:w="770" w:type="dxa"/>
            <w:shd w:val="clear" w:color="auto" w:fill="CCFFFF"/>
            <w:vAlign w:val="bottom"/>
          </w:tcPr>
          <w:p w14:paraId="5FB8C7DE" w14:textId="5F901517" w:rsidR="00542AA7" w:rsidRPr="00FF6722" w:rsidRDefault="00542AA7" w:rsidP="00542AA7">
            <w:pPr>
              <w:jc w:val="center"/>
              <w:rPr>
                <w:lang w:bidi="x-none"/>
              </w:rPr>
            </w:pPr>
            <w:r>
              <w:rPr>
                <w:lang w:bidi="x-none"/>
              </w:rPr>
              <w:t>0</w:t>
            </w:r>
          </w:p>
        </w:tc>
        <w:tc>
          <w:tcPr>
            <w:tcW w:w="770" w:type="dxa"/>
            <w:shd w:val="clear" w:color="auto" w:fill="FF99CC"/>
            <w:vAlign w:val="bottom"/>
          </w:tcPr>
          <w:p w14:paraId="4ED86A76" w14:textId="0EF062F3" w:rsidR="00542AA7" w:rsidRPr="00FF6722" w:rsidRDefault="00542AA7" w:rsidP="00542AA7">
            <w:pPr>
              <w:jc w:val="center"/>
              <w:rPr>
                <w:lang w:bidi="x-none"/>
              </w:rPr>
            </w:pPr>
            <w:r>
              <w:rPr>
                <w:lang w:bidi="x-none"/>
              </w:rPr>
              <w:t>0</w:t>
            </w:r>
          </w:p>
        </w:tc>
        <w:tc>
          <w:tcPr>
            <w:tcW w:w="770" w:type="dxa"/>
            <w:shd w:val="clear" w:color="auto" w:fill="FFFF99"/>
            <w:vAlign w:val="bottom"/>
          </w:tcPr>
          <w:p w14:paraId="5F791066" w14:textId="739D72E6"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42770999" w14:textId="6E582256" w:rsidR="00542AA7" w:rsidRPr="00FF6722" w:rsidRDefault="00542AA7" w:rsidP="00542AA7">
            <w:pPr>
              <w:jc w:val="center"/>
              <w:rPr>
                <w:lang w:bidi="x-none"/>
              </w:rPr>
            </w:pPr>
            <w:r w:rsidRPr="00FF6722">
              <w:rPr>
                <w:lang w:bidi="x-none"/>
              </w:rPr>
              <w:t>60</w:t>
            </w:r>
          </w:p>
        </w:tc>
      </w:tr>
      <w:tr w:rsidR="00542AA7" w:rsidRPr="00FF6722" w14:paraId="29533F69" w14:textId="77777777" w:rsidTr="00542AA7">
        <w:trPr>
          <w:trHeight w:val="144"/>
          <w:jc w:val="center"/>
        </w:trPr>
        <w:tc>
          <w:tcPr>
            <w:tcW w:w="770" w:type="dxa"/>
            <w:shd w:val="clear" w:color="auto" w:fill="auto"/>
          </w:tcPr>
          <w:p w14:paraId="0DBEA88D" w14:textId="6E342579" w:rsidR="00542AA7" w:rsidRPr="00FF6722" w:rsidRDefault="00542AA7" w:rsidP="00542AA7">
            <w:pPr>
              <w:jc w:val="center"/>
              <w:rPr>
                <w:lang w:bidi="x-none"/>
              </w:rPr>
            </w:pPr>
            <w:r w:rsidRPr="00FF6722">
              <w:rPr>
                <w:lang w:bidi="x-none"/>
              </w:rPr>
              <w:t>0</w:t>
            </w:r>
          </w:p>
        </w:tc>
        <w:tc>
          <w:tcPr>
            <w:tcW w:w="770" w:type="dxa"/>
            <w:shd w:val="clear" w:color="auto" w:fill="auto"/>
          </w:tcPr>
          <w:p w14:paraId="6654CF82" w14:textId="19602207" w:rsidR="00542AA7" w:rsidRPr="00FF6722" w:rsidRDefault="00542AA7" w:rsidP="00542AA7">
            <w:pPr>
              <w:jc w:val="center"/>
              <w:rPr>
                <w:lang w:bidi="x-none"/>
              </w:rPr>
            </w:pPr>
            <w:r w:rsidRPr="00FF6722">
              <w:rPr>
                <w:lang w:bidi="x-none"/>
              </w:rPr>
              <w:t>0</w:t>
            </w:r>
          </w:p>
        </w:tc>
        <w:tc>
          <w:tcPr>
            <w:tcW w:w="770" w:type="dxa"/>
            <w:shd w:val="clear" w:color="auto" w:fill="auto"/>
          </w:tcPr>
          <w:p w14:paraId="5EA9A776" w14:textId="17E64C4B" w:rsidR="00542AA7" w:rsidRPr="00FF6722" w:rsidRDefault="00542AA7" w:rsidP="00542AA7">
            <w:pPr>
              <w:jc w:val="center"/>
              <w:rPr>
                <w:lang w:bidi="x-none"/>
              </w:rPr>
            </w:pPr>
            <w:r w:rsidRPr="00FF6722">
              <w:rPr>
                <w:lang w:bidi="x-none"/>
              </w:rPr>
              <w:t>0</w:t>
            </w:r>
          </w:p>
        </w:tc>
        <w:tc>
          <w:tcPr>
            <w:tcW w:w="770" w:type="dxa"/>
            <w:vAlign w:val="bottom"/>
          </w:tcPr>
          <w:p w14:paraId="2D8A2FA9" w14:textId="5D9B0F20" w:rsidR="00542AA7" w:rsidRPr="00FF6722" w:rsidRDefault="00542AA7" w:rsidP="00542AA7">
            <w:pPr>
              <w:jc w:val="center"/>
              <w:rPr>
                <w:lang w:bidi="x-none"/>
              </w:rPr>
            </w:pPr>
            <w:r w:rsidRPr="00FF6722">
              <w:rPr>
                <w:lang w:bidi="x-none"/>
              </w:rPr>
              <w:t>65.1</w:t>
            </w:r>
          </w:p>
        </w:tc>
      </w:tr>
      <w:tr w:rsidR="00542AA7" w:rsidRPr="00FF6722" w14:paraId="678A705C" w14:textId="77777777" w:rsidTr="00542AA7">
        <w:trPr>
          <w:trHeight w:val="144"/>
          <w:jc w:val="center"/>
        </w:trPr>
        <w:tc>
          <w:tcPr>
            <w:tcW w:w="770" w:type="dxa"/>
            <w:shd w:val="clear" w:color="auto" w:fill="CCFFFF"/>
            <w:vAlign w:val="bottom"/>
          </w:tcPr>
          <w:p w14:paraId="79B470E3" w14:textId="311012ED" w:rsidR="00542AA7" w:rsidRPr="00FF6722" w:rsidRDefault="00542AA7" w:rsidP="00542AA7">
            <w:pPr>
              <w:jc w:val="center"/>
              <w:rPr>
                <w:lang w:bidi="x-none"/>
              </w:rPr>
            </w:pPr>
            <w:r>
              <w:rPr>
                <w:lang w:bidi="x-none"/>
              </w:rPr>
              <w:t>0</w:t>
            </w:r>
          </w:p>
        </w:tc>
        <w:tc>
          <w:tcPr>
            <w:tcW w:w="770" w:type="dxa"/>
            <w:shd w:val="clear" w:color="auto" w:fill="FF99CC"/>
            <w:vAlign w:val="bottom"/>
          </w:tcPr>
          <w:p w14:paraId="1A5BBB30" w14:textId="3D99BE0F" w:rsidR="00542AA7" w:rsidRPr="00FF6722" w:rsidRDefault="00542AA7" w:rsidP="00542AA7">
            <w:pPr>
              <w:jc w:val="center"/>
              <w:rPr>
                <w:lang w:bidi="x-none"/>
              </w:rPr>
            </w:pPr>
            <w:r>
              <w:rPr>
                <w:lang w:bidi="x-none"/>
              </w:rPr>
              <w:t>0</w:t>
            </w:r>
          </w:p>
        </w:tc>
        <w:tc>
          <w:tcPr>
            <w:tcW w:w="770" w:type="dxa"/>
            <w:shd w:val="clear" w:color="auto" w:fill="FFFF99"/>
            <w:vAlign w:val="bottom"/>
          </w:tcPr>
          <w:p w14:paraId="4C28EAB1" w14:textId="013146CF"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58C0625D" w14:textId="3AA06A57" w:rsidR="00542AA7" w:rsidRPr="00FF6722" w:rsidRDefault="00542AA7" w:rsidP="00542AA7">
            <w:pPr>
              <w:jc w:val="center"/>
              <w:rPr>
                <w:lang w:bidi="x-none"/>
              </w:rPr>
            </w:pPr>
            <w:r w:rsidRPr="00FF6722">
              <w:rPr>
                <w:lang w:bidi="x-none"/>
              </w:rPr>
              <w:t>69.8</w:t>
            </w:r>
          </w:p>
        </w:tc>
      </w:tr>
      <w:tr w:rsidR="00542AA7" w:rsidRPr="00FF6722" w14:paraId="4451DDF7" w14:textId="77777777" w:rsidTr="00542AA7">
        <w:trPr>
          <w:trHeight w:val="144"/>
          <w:jc w:val="center"/>
        </w:trPr>
        <w:tc>
          <w:tcPr>
            <w:tcW w:w="770" w:type="dxa"/>
            <w:shd w:val="clear" w:color="auto" w:fill="auto"/>
          </w:tcPr>
          <w:p w14:paraId="45056CD0" w14:textId="772E79C0" w:rsidR="00542AA7" w:rsidRPr="00FF6722" w:rsidRDefault="00542AA7" w:rsidP="00542AA7">
            <w:pPr>
              <w:jc w:val="center"/>
              <w:rPr>
                <w:lang w:bidi="x-none"/>
              </w:rPr>
            </w:pPr>
            <w:r w:rsidRPr="00FF6722">
              <w:rPr>
                <w:lang w:bidi="x-none"/>
              </w:rPr>
              <w:t>0</w:t>
            </w:r>
          </w:p>
        </w:tc>
        <w:tc>
          <w:tcPr>
            <w:tcW w:w="770" w:type="dxa"/>
            <w:shd w:val="clear" w:color="auto" w:fill="auto"/>
          </w:tcPr>
          <w:p w14:paraId="7C2C36E9" w14:textId="4B43CE37" w:rsidR="00542AA7" w:rsidRPr="00FF6722" w:rsidRDefault="00542AA7" w:rsidP="00542AA7">
            <w:pPr>
              <w:jc w:val="center"/>
              <w:rPr>
                <w:lang w:bidi="x-none"/>
              </w:rPr>
            </w:pPr>
            <w:r w:rsidRPr="00FF6722">
              <w:rPr>
                <w:lang w:bidi="x-none"/>
              </w:rPr>
              <w:t>0</w:t>
            </w:r>
          </w:p>
        </w:tc>
        <w:tc>
          <w:tcPr>
            <w:tcW w:w="770" w:type="dxa"/>
            <w:shd w:val="clear" w:color="auto" w:fill="auto"/>
          </w:tcPr>
          <w:p w14:paraId="47437032" w14:textId="03BBF53F" w:rsidR="00542AA7" w:rsidRPr="00FF6722" w:rsidRDefault="00542AA7" w:rsidP="00542AA7">
            <w:pPr>
              <w:jc w:val="center"/>
              <w:rPr>
                <w:lang w:bidi="x-none"/>
              </w:rPr>
            </w:pPr>
            <w:r w:rsidRPr="00FF6722">
              <w:rPr>
                <w:lang w:bidi="x-none"/>
              </w:rPr>
              <w:t>0</w:t>
            </w:r>
          </w:p>
        </w:tc>
        <w:tc>
          <w:tcPr>
            <w:tcW w:w="770" w:type="dxa"/>
            <w:vAlign w:val="bottom"/>
          </w:tcPr>
          <w:p w14:paraId="01340935" w14:textId="56E57E2A" w:rsidR="00542AA7" w:rsidRPr="00FF6722" w:rsidRDefault="00542AA7" w:rsidP="00542AA7">
            <w:pPr>
              <w:jc w:val="center"/>
              <w:rPr>
                <w:lang w:bidi="x-none"/>
              </w:rPr>
            </w:pPr>
            <w:r w:rsidRPr="00FF6722">
              <w:rPr>
                <w:lang w:bidi="x-none"/>
              </w:rPr>
              <w:t>74.9</w:t>
            </w:r>
          </w:p>
        </w:tc>
      </w:tr>
      <w:tr w:rsidR="00542AA7" w:rsidRPr="00FF6722" w14:paraId="2ED591D7" w14:textId="77777777" w:rsidTr="00542AA7">
        <w:trPr>
          <w:trHeight w:val="144"/>
          <w:jc w:val="center"/>
        </w:trPr>
        <w:tc>
          <w:tcPr>
            <w:tcW w:w="770" w:type="dxa"/>
            <w:shd w:val="clear" w:color="auto" w:fill="CCFFFF"/>
            <w:vAlign w:val="bottom"/>
          </w:tcPr>
          <w:p w14:paraId="13BD30EA" w14:textId="535777E0" w:rsidR="00542AA7" w:rsidRPr="00FF6722" w:rsidRDefault="00542AA7" w:rsidP="00542AA7">
            <w:pPr>
              <w:jc w:val="center"/>
              <w:rPr>
                <w:lang w:bidi="x-none"/>
              </w:rPr>
            </w:pPr>
            <w:r>
              <w:rPr>
                <w:lang w:bidi="x-none"/>
              </w:rPr>
              <w:t>0</w:t>
            </w:r>
          </w:p>
        </w:tc>
        <w:tc>
          <w:tcPr>
            <w:tcW w:w="770" w:type="dxa"/>
            <w:shd w:val="clear" w:color="auto" w:fill="FF99CC"/>
            <w:vAlign w:val="bottom"/>
          </w:tcPr>
          <w:p w14:paraId="5C0A3A54" w14:textId="6B4AB1B4" w:rsidR="00542AA7" w:rsidRPr="00FF6722" w:rsidRDefault="00542AA7" w:rsidP="00542AA7">
            <w:pPr>
              <w:jc w:val="center"/>
              <w:rPr>
                <w:lang w:bidi="x-none"/>
              </w:rPr>
            </w:pPr>
            <w:r>
              <w:rPr>
                <w:lang w:bidi="x-none"/>
              </w:rPr>
              <w:t>0</w:t>
            </w:r>
          </w:p>
        </w:tc>
        <w:tc>
          <w:tcPr>
            <w:tcW w:w="770" w:type="dxa"/>
            <w:shd w:val="clear" w:color="auto" w:fill="FFFF99"/>
            <w:vAlign w:val="bottom"/>
          </w:tcPr>
          <w:p w14:paraId="0F6C80A2" w14:textId="38AA55B1"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508F91B4" w14:textId="72EF8D4B" w:rsidR="00542AA7" w:rsidRPr="00FF6722" w:rsidRDefault="00542AA7" w:rsidP="00542AA7">
            <w:pPr>
              <w:jc w:val="center"/>
              <w:rPr>
                <w:lang w:bidi="x-none"/>
              </w:rPr>
            </w:pPr>
            <w:r w:rsidRPr="00FF6722">
              <w:rPr>
                <w:lang w:bidi="x-none"/>
              </w:rPr>
              <w:t>80</w:t>
            </w:r>
          </w:p>
        </w:tc>
      </w:tr>
      <w:tr w:rsidR="00542AA7" w:rsidRPr="00FF6722" w14:paraId="1C286AA4" w14:textId="77777777" w:rsidTr="00542AA7">
        <w:trPr>
          <w:trHeight w:val="144"/>
          <w:jc w:val="center"/>
        </w:trPr>
        <w:tc>
          <w:tcPr>
            <w:tcW w:w="770" w:type="dxa"/>
            <w:shd w:val="clear" w:color="auto" w:fill="auto"/>
          </w:tcPr>
          <w:p w14:paraId="5248AAB7" w14:textId="2D665A9B" w:rsidR="00542AA7" w:rsidRPr="00FF6722" w:rsidRDefault="00542AA7" w:rsidP="00542AA7">
            <w:pPr>
              <w:jc w:val="center"/>
              <w:rPr>
                <w:lang w:bidi="x-none"/>
              </w:rPr>
            </w:pPr>
            <w:r w:rsidRPr="00FF6722">
              <w:rPr>
                <w:lang w:bidi="x-none"/>
              </w:rPr>
              <w:t>0</w:t>
            </w:r>
          </w:p>
        </w:tc>
        <w:tc>
          <w:tcPr>
            <w:tcW w:w="770" w:type="dxa"/>
            <w:shd w:val="clear" w:color="auto" w:fill="auto"/>
          </w:tcPr>
          <w:p w14:paraId="48C9FE81" w14:textId="548A5097" w:rsidR="00542AA7" w:rsidRPr="00FF6722" w:rsidRDefault="00542AA7" w:rsidP="00542AA7">
            <w:pPr>
              <w:jc w:val="center"/>
              <w:rPr>
                <w:lang w:bidi="x-none"/>
              </w:rPr>
            </w:pPr>
            <w:r w:rsidRPr="00FF6722">
              <w:rPr>
                <w:lang w:bidi="x-none"/>
              </w:rPr>
              <w:t>0</w:t>
            </w:r>
          </w:p>
        </w:tc>
        <w:tc>
          <w:tcPr>
            <w:tcW w:w="770" w:type="dxa"/>
            <w:shd w:val="clear" w:color="auto" w:fill="auto"/>
          </w:tcPr>
          <w:p w14:paraId="08357468" w14:textId="783DC958" w:rsidR="00542AA7" w:rsidRPr="00FF6722" w:rsidRDefault="00542AA7" w:rsidP="00542AA7">
            <w:pPr>
              <w:jc w:val="center"/>
              <w:rPr>
                <w:lang w:bidi="x-none"/>
              </w:rPr>
            </w:pPr>
            <w:r w:rsidRPr="00FF6722">
              <w:rPr>
                <w:lang w:bidi="x-none"/>
              </w:rPr>
              <w:t>0</w:t>
            </w:r>
          </w:p>
        </w:tc>
        <w:tc>
          <w:tcPr>
            <w:tcW w:w="770" w:type="dxa"/>
            <w:vAlign w:val="bottom"/>
          </w:tcPr>
          <w:p w14:paraId="05BF6F95" w14:textId="57DB4EF1" w:rsidR="00542AA7" w:rsidRPr="00FF6722" w:rsidRDefault="00542AA7" w:rsidP="00542AA7">
            <w:pPr>
              <w:jc w:val="center"/>
              <w:rPr>
                <w:lang w:bidi="x-none"/>
              </w:rPr>
            </w:pPr>
            <w:r w:rsidRPr="00FF6722">
              <w:rPr>
                <w:lang w:bidi="x-none"/>
              </w:rPr>
              <w:t>85.1</w:t>
            </w:r>
          </w:p>
        </w:tc>
      </w:tr>
      <w:tr w:rsidR="00542AA7" w:rsidRPr="00FF6722" w14:paraId="0717987C" w14:textId="77777777" w:rsidTr="00542AA7">
        <w:trPr>
          <w:trHeight w:val="144"/>
          <w:jc w:val="center"/>
        </w:trPr>
        <w:tc>
          <w:tcPr>
            <w:tcW w:w="770" w:type="dxa"/>
            <w:shd w:val="clear" w:color="auto" w:fill="CCFFFF"/>
            <w:vAlign w:val="bottom"/>
          </w:tcPr>
          <w:p w14:paraId="558FE24E" w14:textId="2D3F59A0" w:rsidR="00542AA7" w:rsidRPr="00FF6722" w:rsidRDefault="00542AA7" w:rsidP="00542AA7">
            <w:pPr>
              <w:jc w:val="center"/>
              <w:rPr>
                <w:lang w:bidi="x-none"/>
              </w:rPr>
            </w:pPr>
            <w:r>
              <w:rPr>
                <w:lang w:bidi="x-none"/>
              </w:rPr>
              <w:t>0</w:t>
            </w:r>
          </w:p>
        </w:tc>
        <w:tc>
          <w:tcPr>
            <w:tcW w:w="770" w:type="dxa"/>
            <w:shd w:val="clear" w:color="auto" w:fill="FF99CC"/>
            <w:vAlign w:val="bottom"/>
          </w:tcPr>
          <w:p w14:paraId="0BE9A42E" w14:textId="68038984" w:rsidR="00542AA7" w:rsidRPr="00FF6722" w:rsidRDefault="00542AA7" w:rsidP="00542AA7">
            <w:pPr>
              <w:jc w:val="center"/>
              <w:rPr>
                <w:lang w:bidi="x-none"/>
              </w:rPr>
            </w:pPr>
            <w:r>
              <w:rPr>
                <w:lang w:bidi="x-none"/>
              </w:rPr>
              <w:t>0</w:t>
            </w:r>
          </w:p>
        </w:tc>
        <w:tc>
          <w:tcPr>
            <w:tcW w:w="770" w:type="dxa"/>
            <w:shd w:val="clear" w:color="auto" w:fill="FFFF99"/>
            <w:vAlign w:val="bottom"/>
          </w:tcPr>
          <w:p w14:paraId="1D4C2406" w14:textId="53372F63"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0D0EAD36" w14:textId="55B4CE3E" w:rsidR="00542AA7" w:rsidRPr="00FF6722" w:rsidRDefault="00542AA7" w:rsidP="00542AA7">
            <w:pPr>
              <w:jc w:val="center"/>
              <w:rPr>
                <w:lang w:bidi="x-none"/>
              </w:rPr>
            </w:pPr>
            <w:r w:rsidRPr="00FF6722">
              <w:rPr>
                <w:lang w:bidi="x-none"/>
              </w:rPr>
              <w:t>89.8</w:t>
            </w:r>
          </w:p>
        </w:tc>
      </w:tr>
      <w:tr w:rsidR="00542AA7" w:rsidRPr="00FF6722" w14:paraId="1528DC99" w14:textId="77777777" w:rsidTr="00542AA7">
        <w:trPr>
          <w:trHeight w:val="144"/>
          <w:jc w:val="center"/>
        </w:trPr>
        <w:tc>
          <w:tcPr>
            <w:tcW w:w="770" w:type="dxa"/>
            <w:shd w:val="clear" w:color="auto" w:fill="auto"/>
          </w:tcPr>
          <w:p w14:paraId="2F417270" w14:textId="1FEF0D92" w:rsidR="00542AA7" w:rsidRPr="00FF6722" w:rsidRDefault="00542AA7" w:rsidP="00542AA7">
            <w:pPr>
              <w:jc w:val="center"/>
              <w:rPr>
                <w:lang w:bidi="x-none"/>
              </w:rPr>
            </w:pPr>
            <w:r w:rsidRPr="00FF6722">
              <w:rPr>
                <w:lang w:bidi="x-none"/>
              </w:rPr>
              <w:t>0</w:t>
            </w:r>
          </w:p>
        </w:tc>
        <w:tc>
          <w:tcPr>
            <w:tcW w:w="770" w:type="dxa"/>
            <w:shd w:val="clear" w:color="auto" w:fill="auto"/>
          </w:tcPr>
          <w:p w14:paraId="7CCFFEA9" w14:textId="4F60C2AE" w:rsidR="00542AA7" w:rsidRPr="00FF6722" w:rsidRDefault="00542AA7" w:rsidP="00542AA7">
            <w:pPr>
              <w:jc w:val="center"/>
              <w:rPr>
                <w:lang w:bidi="x-none"/>
              </w:rPr>
            </w:pPr>
            <w:r w:rsidRPr="00FF6722">
              <w:rPr>
                <w:lang w:bidi="x-none"/>
              </w:rPr>
              <w:t>0</w:t>
            </w:r>
          </w:p>
        </w:tc>
        <w:tc>
          <w:tcPr>
            <w:tcW w:w="770" w:type="dxa"/>
            <w:shd w:val="clear" w:color="auto" w:fill="auto"/>
          </w:tcPr>
          <w:p w14:paraId="5269A0A4" w14:textId="3574A7EC" w:rsidR="00542AA7" w:rsidRPr="00FF6722" w:rsidRDefault="00542AA7" w:rsidP="00542AA7">
            <w:pPr>
              <w:jc w:val="center"/>
              <w:rPr>
                <w:lang w:bidi="x-none"/>
              </w:rPr>
            </w:pPr>
            <w:r w:rsidRPr="00FF6722">
              <w:rPr>
                <w:lang w:bidi="x-none"/>
              </w:rPr>
              <w:t>0</w:t>
            </w:r>
          </w:p>
        </w:tc>
        <w:tc>
          <w:tcPr>
            <w:tcW w:w="770" w:type="dxa"/>
            <w:vAlign w:val="bottom"/>
          </w:tcPr>
          <w:p w14:paraId="3944882C" w14:textId="348F5333" w:rsidR="00542AA7" w:rsidRPr="00FF6722" w:rsidRDefault="00542AA7" w:rsidP="00542AA7">
            <w:pPr>
              <w:jc w:val="center"/>
              <w:rPr>
                <w:lang w:bidi="x-none"/>
              </w:rPr>
            </w:pPr>
            <w:r w:rsidRPr="00FF6722">
              <w:rPr>
                <w:lang w:bidi="x-none"/>
              </w:rPr>
              <w:t>94.9</w:t>
            </w:r>
          </w:p>
        </w:tc>
      </w:tr>
      <w:tr w:rsidR="00542AA7" w:rsidRPr="00FF6722" w14:paraId="0B563CE3" w14:textId="77777777" w:rsidTr="00542AA7">
        <w:trPr>
          <w:trHeight w:val="144"/>
          <w:jc w:val="center"/>
        </w:trPr>
        <w:tc>
          <w:tcPr>
            <w:tcW w:w="770" w:type="dxa"/>
            <w:shd w:val="clear" w:color="auto" w:fill="CCFFFF"/>
            <w:vAlign w:val="bottom"/>
          </w:tcPr>
          <w:p w14:paraId="5BA3A08A" w14:textId="5D59B6F3" w:rsidR="00542AA7" w:rsidRPr="00FF6722" w:rsidRDefault="00542AA7" w:rsidP="00542AA7">
            <w:pPr>
              <w:jc w:val="center"/>
              <w:rPr>
                <w:lang w:bidi="x-none"/>
              </w:rPr>
            </w:pPr>
            <w:r>
              <w:rPr>
                <w:lang w:bidi="x-none"/>
              </w:rPr>
              <w:t>0</w:t>
            </w:r>
          </w:p>
        </w:tc>
        <w:tc>
          <w:tcPr>
            <w:tcW w:w="770" w:type="dxa"/>
            <w:shd w:val="clear" w:color="auto" w:fill="FF99CC"/>
            <w:vAlign w:val="bottom"/>
          </w:tcPr>
          <w:p w14:paraId="2F52A87F" w14:textId="40708570" w:rsidR="00542AA7" w:rsidRPr="00FF6722" w:rsidRDefault="00542AA7" w:rsidP="00542AA7">
            <w:pPr>
              <w:jc w:val="center"/>
              <w:rPr>
                <w:lang w:bidi="x-none"/>
              </w:rPr>
            </w:pPr>
            <w:r>
              <w:rPr>
                <w:lang w:bidi="x-none"/>
              </w:rPr>
              <w:t>0</w:t>
            </w:r>
          </w:p>
        </w:tc>
        <w:tc>
          <w:tcPr>
            <w:tcW w:w="770" w:type="dxa"/>
            <w:shd w:val="clear" w:color="auto" w:fill="FFFF99"/>
            <w:vAlign w:val="bottom"/>
          </w:tcPr>
          <w:p w14:paraId="1116EC3A" w14:textId="53C73DAE" w:rsidR="00542AA7" w:rsidRPr="00FF6722" w:rsidRDefault="00542AA7" w:rsidP="00542AA7">
            <w:pPr>
              <w:jc w:val="center"/>
              <w:rPr>
                <w:lang w:bidi="x-none"/>
              </w:rPr>
            </w:pPr>
            <w:r>
              <w:rPr>
                <w:lang w:bidi="x-none"/>
              </w:rPr>
              <w:t>0</w:t>
            </w:r>
          </w:p>
        </w:tc>
        <w:tc>
          <w:tcPr>
            <w:tcW w:w="770" w:type="dxa"/>
            <w:shd w:val="clear" w:color="auto" w:fill="D9D9D9" w:themeFill="background1" w:themeFillShade="D9"/>
            <w:vAlign w:val="bottom"/>
          </w:tcPr>
          <w:p w14:paraId="3771299D" w14:textId="7CC267D2" w:rsidR="00542AA7" w:rsidRPr="00FF6722" w:rsidRDefault="00542AA7" w:rsidP="00542AA7">
            <w:pPr>
              <w:jc w:val="center"/>
              <w:rPr>
                <w:lang w:bidi="x-none"/>
              </w:rPr>
            </w:pPr>
            <w:r w:rsidRPr="00FF6722">
              <w:rPr>
                <w:lang w:bidi="x-none"/>
              </w:rPr>
              <w:t>98.04</w:t>
            </w:r>
          </w:p>
        </w:tc>
      </w:tr>
      <w:tr w:rsidR="00542AA7" w:rsidRPr="00FF6722" w14:paraId="25DBC89C" w14:textId="77777777" w:rsidTr="00542AA7">
        <w:trPr>
          <w:trHeight w:val="144"/>
          <w:jc w:val="center"/>
        </w:trPr>
        <w:tc>
          <w:tcPr>
            <w:tcW w:w="770" w:type="dxa"/>
            <w:shd w:val="clear" w:color="auto" w:fill="auto"/>
          </w:tcPr>
          <w:p w14:paraId="066A8392" w14:textId="1CDCEA93" w:rsidR="00542AA7" w:rsidRPr="00FF6722" w:rsidRDefault="00542AA7" w:rsidP="00542AA7">
            <w:pPr>
              <w:jc w:val="center"/>
              <w:rPr>
                <w:lang w:bidi="x-none"/>
              </w:rPr>
            </w:pPr>
            <w:r w:rsidRPr="00FF6722">
              <w:rPr>
                <w:lang w:bidi="x-none"/>
              </w:rPr>
              <w:t>0</w:t>
            </w:r>
          </w:p>
        </w:tc>
        <w:tc>
          <w:tcPr>
            <w:tcW w:w="770" w:type="dxa"/>
            <w:shd w:val="clear" w:color="auto" w:fill="auto"/>
          </w:tcPr>
          <w:p w14:paraId="3F4626DF" w14:textId="3ED98678" w:rsidR="00542AA7" w:rsidRPr="00FF6722" w:rsidRDefault="00542AA7" w:rsidP="00542AA7">
            <w:pPr>
              <w:jc w:val="center"/>
              <w:rPr>
                <w:lang w:bidi="x-none"/>
              </w:rPr>
            </w:pPr>
            <w:r w:rsidRPr="00FF6722">
              <w:rPr>
                <w:lang w:bidi="x-none"/>
              </w:rPr>
              <w:t>0</w:t>
            </w:r>
          </w:p>
        </w:tc>
        <w:tc>
          <w:tcPr>
            <w:tcW w:w="770" w:type="dxa"/>
            <w:shd w:val="clear" w:color="auto" w:fill="auto"/>
          </w:tcPr>
          <w:p w14:paraId="014E00A6" w14:textId="20ADCFD9" w:rsidR="00542AA7" w:rsidRPr="00FF6722" w:rsidRDefault="00542AA7" w:rsidP="00542AA7">
            <w:pPr>
              <w:jc w:val="center"/>
              <w:rPr>
                <w:lang w:bidi="x-none"/>
              </w:rPr>
            </w:pPr>
            <w:r w:rsidRPr="00FF6722">
              <w:rPr>
                <w:lang w:bidi="x-none"/>
              </w:rPr>
              <w:t>0</w:t>
            </w:r>
          </w:p>
        </w:tc>
        <w:tc>
          <w:tcPr>
            <w:tcW w:w="770" w:type="dxa"/>
            <w:vAlign w:val="bottom"/>
          </w:tcPr>
          <w:p w14:paraId="287B864C" w14:textId="64A04EBB" w:rsidR="00542AA7" w:rsidRPr="00FF6722" w:rsidRDefault="00542AA7" w:rsidP="00542AA7">
            <w:pPr>
              <w:jc w:val="center"/>
              <w:rPr>
                <w:lang w:bidi="x-none"/>
              </w:rPr>
            </w:pPr>
            <w:r w:rsidRPr="00FF6722">
              <w:rPr>
                <w:lang w:bidi="x-none"/>
              </w:rPr>
              <w:t>100</w:t>
            </w:r>
          </w:p>
        </w:tc>
      </w:tr>
    </w:tbl>
    <w:p w14:paraId="7BABD415" w14:textId="7916AFEF" w:rsidR="00542AA7" w:rsidRPr="00083376" w:rsidRDefault="00542AA7" w:rsidP="00542AA7">
      <w:pPr>
        <w:pStyle w:val="Caption"/>
      </w:pPr>
      <w:r>
        <w:t xml:space="preserve"> Table 3</w:t>
      </w:r>
      <w:r w:rsidRPr="00083376">
        <w:t xml:space="preserve">: </w:t>
      </w:r>
      <w:r>
        <w:t>CMY</w:t>
      </w:r>
      <w:r w:rsidR="001E768B">
        <w:t>K percentage values in column 4</w:t>
      </w:r>
      <w:r>
        <w:t xml:space="preserve"> of the P2P target</w:t>
      </w:r>
    </w:p>
    <w:p w14:paraId="09F43629" w14:textId="77777777" w:rsidR="00542AA7" w:rsidRPr="005E4F87" w:rsidRDefault="00542AA7" w:rsidP="00542AA7">
      <w:pPr>
        <w:sectPr w:rsidR="00542AA7" w:rsidRPr="005E4F87" w:rsidSect="006C7244">
          <w:pgSz w:w="12240" w:h="15840"/>
          <w:pgMar w:top="1152" w:right="1800" w:bottom="1440" w:left="1800" w:header="720" w:footer="720" w:gutter="0"/>
          <w:cols w:space="720"/>
          <w:docGrid w:linePitch="360"/>
        </w:sectPr>
      </w:pPr>
    </w:p>
    <w:p w14:paraId="78CE7CD0" w14:textId="77777777" w:rsidR="00542AA7" w:rsidRDefault="00542AA7" w:rsidP="00467D12">
      <w:pPr>
        <w:pStyle w:val="Heading2"/>
      </w:pPr>
      <w:r>
        <w:lastRenderedPageBreak/>
        <w:t>P2P patch values</w:t>
      </w:r>
    </w:p>
    <w:p w14:paraId="24972110" w14:textId="77777777" w:rsidR="00542AA7" w:rsidRPr="00542AA7" w:rsidRDefault="00542AA7" w:rsidP="00467D12">
      <w:pPr>
        <w:pStyle w:val="Heading4"/>
      </w:pPr>
      <w:r>
        <w:t>Column 5 (CMY only)</w:t>
      </w:r>
    </w:p>
    <w:p w14:paraId="54DC330F" w14:textId="77777777" w:rsidR="00542AA7" w:rsidRPr="00C97F98" w:rsidRDefault="00542AA7" w:rsidP="00542AA7"/>
    <w:tbl>
      <w:tblPr>
        <w:tblW w:w="3080" w:type="dxa"/>
        <w:jc w:val="center"/>
        <w:tblBorders>
          <w:top w:val="single" w:sz="8" w:space="0" w:color="auto"/>
          <w:left w:val="single" w:sz="8" w:space="0" w:color="auto"/>
          <w:bottom w:val="single" w:sz="8" w:space="0" w:color="auto"/>
          <w:right w:val="single" w:sz="8" w:space="0" w:color="auto"/>
        </w:tblBorders>
        <w:tblCellMar>
          <w:left w:w="115" w:type="dxa"/>
          <w:right w:w="115" w:type="dxa"/>
        </w:tblCellMar>
        <w:tblLook w:val="0000" w:firstRow="0" w:lastRow="0" w:firstColumn="0" w:lastColumn="0" w:noHBand="0" w:noVBand="0"/>
      </w:tblPr>
      <w:tblGrid>
        <w:gridCol w:w="770"/>
        <w:gridCol w:w="770"/>
        <w:gridCol w:w="770"/>
        <w:gridCol w:w="770"/>
      </w:tblGrid>
      <w:tr w:rsidR="00542AA7" w:rsidRPr="00FF6722" w14:paraId="172B4B97" w14:textId="77777777" w:rsidTr="00542AA7">
        <w:trPr>
          <w:trHeight w:val="144"/>
          <w:jc w:val="center"/>
        </w:trPr>
        <w:tc>
          <w:tcPr>
            <w:tcW w:w="770" w:type="dxa"/>
            <w:shd w:val="clear" w:color="auto" w:fill="auto"/>
            <w:vAlign w:val="bottom"/>
          </w:tcPr>
          <w:p w14:paraId="1E9FB4E5" w14:textId="77777777" w:rsidR="00542AA7" w:rsidRPr="00FF6722" w:rsidRDefault="00542AA7" w:rsidP="00542AA7">
            <w:pPr>
              <w:jc w:val="center"/>
              <w:rPr>
                <w:b/>
                <w:lang w:bidi="x-none"/>
              </w:rPr>
            </w:pPr>
            <w:r w:rsidRPr="00FF6722">
              <w:rPr>
                <w:b/>
                <w:lang w:bidi="x-none"/>
              </w:rPr>
              <w:t>C%</w:t>
            </w:r>
          </w:p>
        </w:tc>
        <w:tc>
          <w:tcPr>
            <w:tcW w:w="770" w:type="dxa"/>
            <w:shd w:val="clear" w:color="auto" w:fill="auto"/>
            <w:vAlign w:val="bottom"/>
          </w:tcPr>
          <w:p w14:paraId="6FEB84FD" w14:textId="77777777" w:rsidR="00542AA7" w:rsidRPr="00FF6722" w:rsidRDefault="00542AA7" w:rsidP="00542AA7">
            <w:pPr>
              <w:jc w:val="center"/>
              <w:rPr>
                <w:b/>
                <w:lang w:bidi="x-none"/>
              </w:rPr>
            </w:pPr>
            <w:r w:rsidRPr="00FF6722">
              <w:rPr>
                <w:b/>
                <w:lang w:bidi="x-none"/>
              </w:rPr>
              <w:t>M%</w:t>
            </w:r>
          </w:p>
        </w:tc>
        <w:tc>
          <w:tcPr>
            <w:tcW w:w="770" w:type="dxa"/>
            <w:shd w:val="clear" w:color="auto" w:fill="auto"/>
            <w:vAlign w:val="bottom"/>
          </w:tcPr>
          <w:p w14:paraId="3959C8E9" w14:textId="77777777" w:rsidR="00542AA7" w:rsidRPr="00FF6722" w:rsidRDefault="00542AA7" w:rsidP="00542AA7">
            <w:pPr>
              <w:jc w:val="center"/>
              <w:rPr>
                <w:b/>
                <w:lang w:bidi="x-none"/>
              </w:rPr>
            </w:pPr>
            <w:r w:rsidRPr="00FF6722">
              <w:rPr>
                <w:b/>
                <w:lang w:bidi="x-none"/>
              </w:rPr>
              <w:t>Y%</w:t>
            </w:r>
          </w:p>
        </w:tc>
        <w:tc>
          <w:tcPr>
            <w:tcW w:w="770" w:type="dxa"/>
            <w:vAlign w:val="bottom"/>
          </w:tcPr>
          <w:p w14:paraId="447D54CE" w14:textId="77777777" w:rsidR="00542AA7" w:rsidRPr="00FF6722" w:rsidRDefault="00542AA7" w:rsidP="00542AA7">
            <w:pPr>
              <w:jc w:val="center"/>
              <w:rPr>
                <w:lang w:bidi="x-none"/>
              </w:rPr>
            </w:pPr>
            <w:r>
              <w:rPr>
                <w:b/>
                <w:lang w:bidi="x-none"/>
              </w:rPr>
              <w:t>K</w:t>
            </w:r>
            <w:r w:rsidRPr="00FF6722">
              <w:rPr>
                <w:b/>
                <w:lang w:bidi="x-none"/>
              </w:rPr>
              <w:t>%</w:t>
            </w:r>
          </w:p>
        </w:tc>
      </w:tr>
      <w:tr w:rsidR="00542AA7" w:rsidRPr="00FF6722" w14:paraId="03062F8D" w14:textId="77777777" w:rsidTr="00542AA7">
        <w:trPr>
          <w:trHeight w:val="144"/>
          <w:jc w:val="center"/>
        </w:trPr>
        <w:tc>
          <w:tcPr>
            <w:tcW w:w="770" w:type="dxa"/>
            <w:shd w:val="clear" w:color="auto" w:fill="auto"/>
          </w:tcPr>
          <w:p w14:paraId="72FF90C8" w14:textId="77777777" w:rsidR="00542AA7" w:rsidRPr="00FF6722" w:rsidRDefault="00542AA7" w:rsidP="00542AA7">
            <w:pPr>
              <w:jc w:val="center"/>
              <w:rPr>
                <w:lang w:bidi="x-none"/>
              </w:rPr>
            </w:pPr>
            <w:r w:rsidRPr="00FF6722">
              <w:rPr>
                <w:lang w:bidi="x-none"/>
              </w:rPr>
              <w:t>0</w:t>
            </w:r>
          </w:p>
        </w:tc>
        <w:tc>
          <w:tcPr>
            <w:tcW w:w="770" w:type="dxa"/>
            <w:shd w:val="clear" w:color="auto" w:fill="auto"/>
          </w:tcPr>
          <w:p w14:paraId="516239F2" w14:textId="77777777" w:rsidR="00542AA7" w:rsidRPr="00FF6722" w:rsidRDefault="00542AA7" w:rsidP="00542AA7">
            <w:pPr>
              <w:jc w:val="center"/>
              <w:rPr>
                <w:lang w:bidi="x-none"/>
              </w:rPr>
            </w:pPr>
            <w:r w:rsidRPr="00FF6722">
              <w:rPr>
                <w:lang w:bidi="x-none"/>
              </w:rPr>
              <w:t>0</w:t>
            </w:r>
          </w:p>
        </w:tc>
        <w:tc>
          <w:tcPr>
            <w:tcW w:w="770" w:type="dxa"/>
            <w:shd w:val="clear" w:color="auto" w:fill="auto"/>
          </w:tcPr>
          <w:p w14:paraId="4055EB54" w14:textId="77777777" w:rsidR="00542AA7" w:rsidRPr="00FF6722" w:rsidRDefault="00542AA7" w:rsidP="00542AA7">
            <w:pPr>
              <w:jc w:val="center"/>
              <w:rPr>
                <w:lang w:bidi="x-none"/>
              </w:rPr>
            </w:pPr>
            <w:r w:rsidRPr="00FF6722">
              <w:rPr>
                <w:lang w:bidi="x-none"/>
              </w:rPr>
              <w:t>0</w:t>
            </w:r>
          </w:p>
        </w:tc>
        <w:tc>
          <w:tcPr>
            <w:tcW w:w="770" w:type="dxa"/>
          </w:tcPr>
          <w:p w14:paraId="3B31DD5E" w14:textId="77777777" w:rsidR="00542AA7" w:rsidRPr="00FF6722" w:rsidRDefault="00542AA7" w:rsidP="00542AA7">
            <w:pPr>
              <w:jc w:val="center"/>
              <w:rPr>
                <w:lang w:bidi="x-none"/>
              </w:rPr>
            </w:pPr>
            <w:r w:rsidRPr="00FF6722">
              <w:rPr>
                <w:lang w:bidi="x-none"/>
              </w:rPr>
              <w:t>0</w:t>
            </w:r>
          </w:p>
        </w:tc>
      </w:tr>
      <w:tr w:rsidR="00542AA7" w:rsidRPr="00FF6722" w14:paraId="510D7165" w14:textId="77777777" w:rsidTr="00542AA7">
        <w:trPr>
          <w:trHeight w:val="144"/>
          <w:jc w:val="center"/>
        </w:trPr>
        <w:tc>
          <w:tcPr>
            <w:tcW w:w="770" w:type="dxa"/>
            <w:shd w:val="clear" w:color="auto" w:fill="CCFFFF"/>
            <w:vAlign w:val="bottom"/>
          </w:tcPr>
          <w:p w14:paraId="1F5AE3E1" w14:textId="77777777" w:rsidR="00542AA7" w:rsidRPr="00FF6722" w:rsidRDefault="00542AA7" w:rsidP="00542AA7">
            <w:pPr>
              <w:jc w:val="center"/>
              <w:rPr>
                <w:lang w:bidi="x-none"/>
              </w:rPr>
            </w:pPr>
            <w:r w:rsidRPr="00542AA7">
              <w:rPr>
                <w:lang w:bidi="x-none"/>
              </w:rPr>
              <w:t>1.96</w:t>
            </w:r>
          </w:p>
        </w:tc>
        <w:tc>
          <w:tcPr>
            <w:tcW w:w="770" w:type="dxa"/>
            <w:shd w:val="clear" w:color="auto" w:fill="FF99CC"/>
            <w:vAlign w:val="bottom"/>
          </w:tcPr>
          <w:p w14:paraId="7CE4F64B" w14:textId="77777777" w:rsidR="00542AA7" w:rsidRPr="00FF6722" w:rsidRDefault="00542AA7" w:rsidP="00542AA7">
            <w:pPr>
              <w:jc w:val="center"/>
              <w:rPr>
                <w:lang w:bidi="x-none"/>
              </w:rPr>
            </w:pPr>
            <w:r w:rsidRPr="00FF6722">
              <w:rPr>
                <w:lang w:bidi="x-none"/>
              </w:rPr>
              <w:t>1.18</w:t>
            </w:r>
          </w:p>
        </w:tc>
        <w:tc>
          <w:tcPr>
            <w:tcW w:w="770" w:type="dxa"/>
            <w:shd w:val="clear" w:color="auto" w:fill="FFFF99"/>
            <w:vAlign w:val="bottom"/>
          </w:tcPr>
          <w:p w14:paraId="76C99DFE" w14:textId="77777777" w:rsidR="00542AA7" w:rsidRPr="00FF6722" w:rsidRDefault="00542AA7" w:rsidP="00542AA7">
            <w:pPr>
              <w:jc w:val="center"/>
              <w:rPr>
                <w:lang w:bidi="x-none"/>
              </w:rPr>
            </w:pPr>
            <w:r w:rsidRPr="00FF6722">
              <w:rPr>
                <w:lang w:bidi="x-none"/>
              </w:rPr>
              <w:t>1.18</w:t>
            </w:r>
          </w:p>
        </w:tc>
        <w:tc>
          <w:tcPr>
            <w:tcW w:w="770" w:type="dxa"/>
            <w:shd w:val="clear" w:color="auto" w:fill="D9D9D9" w:themeFill="background1" w:themeFillShade="D9"/>
            <w:vAlign w:val="bottom"/>
          </w:tcPr>
          <w:p w14:paraId="2FBF1821" w14:textId="77777777" w:rsidR="00542AA7" w:rsidRPr="00FF6722" w:rsidRDefault="00542AA7" w:rsidP="00542AA7">
            <w:pPr>
              <w:jc w:val="center"/>
              <w:rPr>
                <w:lang w:bidi="x-none"/>
              </w:rPr>
            </w:pPr>
            <w:r>
              <w:rPr>
                <w:lang w:bidi="x-none"/>
              </w:rPr>
              <w:t>0</w:t>
            </w:r>
          </w:p>
        </w:tc>
      </w:tr>
      <w:tr w:rsidR="00542AA7" w:rsidRPr="00FF6722" w14:paraId="2F882507" w14:textId="77777777" w:rsidTr="00542AA7">
        <w:trPr>
          <w:trHeight w:val="144"/>
          <w:jc w:val="center"/>
        </w:trPr>
        <w:tc>
          <w:tcPr>
            <w:tcW w:w="770" w:type="dxa"/>
            <w:shd w:val="clear" w:color="auto" w:fill="auto"/>
            <w:vAlign w:val="bottom"/>
          </w:tcPr>
          <w:p w14:paraId="0BC40D81" w14:textId="77777777" w:rsidR="00542AA7" w:rsidRPr="00FF6722" w:rsidRDefault="00542AA7" w:rsidP="00542AA7">
            <w:pPr>
              <w:jc w:val="center"/>
              <w:rPr>
                <w:lang w:bidi="x-none"/>
              </w:rPr>
            </w:pPr>
            <w:r w:rsidRPr="00FF6722">
              <w:rPr>
                <w:lang w:bidi="x-none"/>
              </w:rPr>
              <w:t>3.92</w:t>
            </w:r>
          </w:p>
        </w:tc>
        <w:tc>
          <w:tcPr>
            <w:tcW w:w="770" w:type="dxa"/>
            <w:shd w:val="clear" w:color="auto" w:fill="auto"/>
            <w:vAlign w:val="bottom"/>
          </w:tcPr>
          <w:p w14:paraId="7B46D138" w14:textId="77777777" w:rsidR="00542AA7" w:rsidRPr="00FF6722" w:rsidRDefault="00542AA7" w:rsidP="00542AA7">
            <w:pPr>
              <w:jc w:val="center"/>
              <w:rPr>
                <w:lang w:bidi="x-none"/>
              </w:rPr>
            </w:pPr>
            <w:r w:rsidRPr="00FF6722">
              <w:rPr>
                <w:lang w:bidi="x-none"/>
              </w:rPr>
              <w:t>2.77</w:t>
            </w:r>
          </w:p>
        </w:tc>
        <w:tc>
          <w:tcPr>
            <w:tcW w:w="770" w:type="dxa"/>
            <w:shd w:val="clear" w:color="auto" w:fill="auto"/>
            <w:vAlign w:val="bottom"/>
          </w:tcPr>
          <w:p w14:paraId="66D55CDC" w14:textId="77777777" w:rsidR="00542AA7" w:rsidRPr="00FF6722" w:rsidRDefault="00542AA7" w:rsidP="00542AA7">
            <w:pPr>
              <w:jc w:val="center"/>
              <w:rPr>
                <w:lang w:bidi="x-none"/>
              </w:rPr>
            </w:pPr>
            <w:r w:rsidRPr="00FF6722">
              <w:rPr>
                <w:lang w:bidi="x-none"/>
              </w:rPr>
              <w:t>2.77</w:t>
            </w:r>
          </w:p>
        </w:tc>
        <w:tc>
          <w:tcPr>
            <w:tcW w:w="770" w:type="dxa"/>
          </w:tcPr>
          <w:p w14:paraId="22584628" w14:textId="77777777" w:rsidR="00542AA7" w:rsidRPr="00FF6722" w:rsidRDefault="00542AA7" w:rsidP="00542AA7">
            <w:pPr>
              <w:jc w:val="center"/>
              <w:rPr>
                <w:lang w:bidi="x-none"/>
              </w:rPr>
            </w:pPr>
            <w:r w:rsidRPr="00FF6722">
              <w:rPr>
                <w:lang w:bidi="x-none"/>
              </w:rPr>
              <w:t>0</w:t>
            </w:r>
          </w:p>
        </w:tc>
      </w:tr>
      <w:tr w:rsidR="00542AA7" w:rsidRPr="00FF6722" w14:paraId="0C057189" w14:textId="77777777" w:rsidTr="00542AA7">
        <w:trPr>
          <w:trHeight w:val="144"/>
          <w:jc w:val="center"/>
        </w:trPr>
        <w:tc>
          <w:tcPr>
            <w:tcW w:w="770" w:type="dxa"/>
            <w:shd w:val="clear" w:color="auto" w:fill="CCFFFF"/>
            <w:vAlign w:val="bottom"/>
          </w:tcPr>
          <w:p w14:paraId="150155BD" w14:textId="77777777" w:rsidR="00542AA7" w:rsidRPr="00FF6722" w:rsidRDefault="00542AA7" w:rsidP="00542AA7">
            <w:pPr>
              <w:jc w:val="center"/>
              <w:rPr>
                <w:lang w:bidi="x-none"/>
              </w:rPr>
            </w:pPr>
            <w:r w:rsidRPr="00FF6722">
              <w:rPr>
                <w:lang w:bidi="x-none"/>
              </w:rPr>
              <w:t>5.88</w:t>
            </w:r>
          </w:p>
        </w:tc>
        <w:tc>
          <w:tcPr>
            <w:tcW w:w="770" w:type="dxa"/>
            <w:shd w:val="clear" w:color="auto" w:fill="FF99CC"/>
            <w:vAlign w:val="bottom"/>
          </w:tcPr>
          <w:p w14:paraId="6F42DF1E" w14:textId="77777777" w:rsidR="00542AA7" w:rsidRPr="00FF6722" w:rsidRDefault="00542AA7" w:rsidP="00542AA7">
            <w:pPr>
              <w:jc w:val="center"/>
              <w:rPr>
                <w:lang w:bidi="x-none"/>
              </w:rPr>
            </w:pPr>
            <w:r w:rsidRPr="00FF6722">
              <w:rPr>
                <w:lang w:bidi="x-none"/>
              </w:rPr>
              <w:t>4.15</w:t>
            </w:r>
          </w:p>
        </w:tc>
        <w:tc>
          <w:tcPr>
            <w:tcW w:w="770" w:type="dxa"/>
            <w:shd w:val="clear" w:color="auto" w:fill="FFFF99"/>
            <w:vAlign w:val="bottom"/>
          </w:tcPr>
          <w:p w14:paraId="73766939" w14:textId="77777777" w:rsidR="00542AA7" w:rsidRPr="00FF6722" w:rsidRDefault="00542AA7" w:rsidP="00542AA7">
            <w:pPr>
              <w:jc w:val="center"/>
              <w:rPr>
                <w:lang w:bidi="x-none"/>
              </w:rPr>
            </w:pPr>
            <w:r w:rsidRPr="00FF6722">
              <w:rPr>
                <w:lang w:bidi="x-none"/>
              </w:rPr>
              <w:t>4.15</w:t>
            </w:r>
          </w:p>
        </w:tc>
        <w:tc>
          <w:tcPr>
            <w:tcW w:w="770" w:type="dxa"/>
            <w:shd w:val="clear" w:color="auto" w:fill="D9D9D9" w:themeFill="background1" w:themeFillShade="D9"/>
            <w:vAlign w:val="bottom"/>
          </w:tcPr>
          <w:p w14:paraId="20AF9C21" w14:textId="77777777" w:rsidR="00542AA7" w:rsidRPr="00FF6722" w:rsidRDefault="00542AA7" w:rsidP="00542AA7">
            <w:pPr>
              <w:jc w:val="center"/>
              <w:rPr>
                <w:lang w:bidi="x-none"/>
              </w:rPr>
            </w:pPr>
            <w:r>
              <w:rPr>
                <w:lang w:bidi="x-none"/>
              </w:rPr>
              <w:t>0</w:t>
            </w:r>
          </w:p>
        </w:tc>
      </w:tr>
      <w:tr w:rsidR="00542AA7" w:rsidRPr="00FF6722" w14:paraId="06F5A035" w14:textId="77777777" w:rsidTr="00542AA7">
        <w:trPr>
          <w:trHeight w:val="144"/>
          <w:jc w:val="center"/>
        </w:trPr>
        <w:tc>
          <w:tcPr>
            <w:tcW w:w="770" w:type="dxa"/>
            <w:shd w:val="clear" w:color="auto" w:fill="auto"/>
            <w:vAlign w:val="bottom"/>
          </w:tcPr>
          <w:p w14:paraId="47E15C8D" w14:textId="77777777" w:rsidR="00542AA7" w:rsidRPr="00FF6722" w:rsidRDefault="00542AA7" w:rsidP="00542AA7">
            <w:pPr>
              <w:jc w:val="center"/>
              <w:rPr>
                <w:lang w:bidi="x-none"/>
              </w:rPr>
            </w:pPr>
            <w:r w:rsidRPr="00FF6722">
              <w:rPr>
                <w:lang w:bidi="x-none"/>
              </w:rPr>
              <w:t>7.84</w:t>
            </w:r>
          </w:p>
        </w:tc>
        <w:tc>
          <w:tcPr>
            <w:tcW w:w="770" w:type="dxa"/>
            <w:shd w:val="clear" w:color="auto" w:fill="auto"/>
            <w:vAlign w:val="bottom"/>
          </w:tcPr>
          <w:p w14:paraId="2BA86783" w14:textId="77777777" w:rsidR="00542AA7" w:rsidRPr="00FF6722" w:rsidRDefault="00542AA7" w:rsidP="00542AA7">
            <w:pPr>
              <w:jc w:val="center"/>
              <w:rPr>
                <w:lang w:bidi="x-none"/>
              </w:rPr>
            </w:pPr>
            <w:r w:rsidRPr="00FF6722">
              <w:rPr>
                <w:lang w:bidi="x-none"/>
              </w:rPr>
              <w:t>5.61</w:t>
            </w:r>
          </w:p>
        </w:tc>
        <w:tc>
          <w:tcPr>
            <w:tcW w:w="770" w:type="dxa"/>
            <w:shd w:val="clear" w:color="auto" w:fill="auto"/>
            <w:vAlign w:val="bottom"/>
          </w:tcPr>
          <w:p w14:paraId="7697E1B5" w14:textId="77777777" w:rsidR="00542AA7" w:rsidRPr="00FF6722" w:rsidRDefault="00542AA7" w:rsidP="00542AA7">
            <w:pPr>
              <w:jc w:val="center"/>
              <w:rPr>
                <w:lang w:bidi="x-none"/>
              </w:rPr>
            </w:pPr>
            <w:r w:rsidRPr="00FF6722">
              <w:rPr>
                <w:lang w:bidi="x-none"/>
              </w:rPr>
              <w:t>5.61</w:t>
            </w:r>
          </w:p>
        </w:tc>
        <w:tc>
          <w:tcPr>
            <w:tcW w:w="770" w:type="dxa"/>
          </w:tcPr>
          <w:p w14:paraId="3BBAC3C8" w14:textId="77777777" w:rsidR="00542AA7" w:rsidRPr="00FF6722" w:rsidRDefault="00542AA7" w:rsidP="00542AA7">
            <w:pPr>
              <w:jc w:val="center"/>
              <w:rPr>
                <w:lang w:bidi="x-none"/>
              </w:rPr>
            </w:pPr>
            <w:r w:rsidRPr="00FF6722">
              <w:rPr>
                <w:lang w:bidi="x-none"/>
              </w:rPr>
              <w:t>0</w:t>
            </w:r>
          </w:p>
        </w:tc>
      </w:tr>
      <w:tr w:rsidR="00542AA7" w:rsidRPr="00FF6722" w14:paraId="190CBB42" w14:textId="77777777" w:rsidTr="00542AA7">
        <w:trPr>
          <w:trHeight w:val="144"/>
          <w:jc w:val="center"/>
        </w:trPr>
        <w:tc>
          <w:tcPr>
            <w:tcW w:w="770" w:type="dxa"/>
            <w:shd w:val="clear" w:color="auto" w:fill="CCFFFF"/>
            <w:vAlign w:val="bottom"/>
          </w:tcPr>
          <w:p w14:paraId="180FCED9" w14:textId="77777777" w:rsidR="00542AA7" w:rsidRPr="00FF6722" w:rsidRDefault="00542AA7" w:rsidP="00542AA7">
            <w:pPr>
              <w:jc w:val="center"/>
              <w:rPr>
                <w:lang w:bidi="x-none"/>
              </w:rPr>
            </w:pPr>
            <w:r w:rsidRPr="00FF6722">
              <w:rPr>
                <w:lang w:bidi="x-none"/>
              </w:rPr>
              <w:t>10.2</w:t>
            </w:r>
          </w:p>
        </w:tc>
        <w:tc>
          <w:tcPr>
            <w:tcW w:w="770" w:type="dxa"/>
            <w:shd w:val="clear" w:color="auto" w:fill="FF99CC"/>
            <w:vAlign w:val="bottom"/>
          </w:tcPr>
          <w:p w14:paraId="317F1A26" w14:textId="77777777" w:rsidR="00542AA7" w:rsidRPr="00FF6722" w:rsidRDefault="00542AA7" w:rsidP="00542AA7">
            <w:pPr>
              <w:jc w:val="center"/>
              <w:rPr>
                <w:lang w:bidi="x-none"/>
              </w:rPr>
            </w:pPr>
            <w:r w:rsidRPr="00FF6722">
              <w:rPr>
                <w:lang w:bidi="x-none"/>
              </w:rPr>
              <w:t>7.41</w:t>
            </w:r>
          </w:p>
        </w:tc>
        <w:tc>
          <w:tcPr>
            <w:tcW w:w="770" w:type="dxa"/>
            <w:shd w:val="clear" w:color="auto" w:fill="FFFF99"/>
            <w:vAlign w:val="bottom"/>
          </w:tcPr>
          <w:p w14:paraId="741AE9EF" w14:textId="77777777" w:rsidR="00542AA7" w:rsidRPr="00FF6722" w:rsidRDefault="00542AA7" w:rsidP="00542AA7">
            <w:pPr>
              <w:jc w:val="center"/>
              <w:rPr>
                <w:lang w:bidi="x-none"/>
              </w:rPr>
            </w:pPr>
            <w:r w:rsidRPr="00FF6722">
              <w:rPr>
                <w:lang w:bidi="x-none"/>
              </w:rPr>
              <w:t>7.41</w:t>
            </w:r>
          </w:p>
        </w:tc>
        <w:tc>
          <w:tcPr>
            <w:tcW w:w="770" w:type="dxa"/>
            <w:shd w:val="clear" w:color="auto" w:fill="D9D9D9" w:themeFill="background1" w:themeFillShade="D9"/>
            <w:vAlign w:val="bottom"/>
          </w:tcPr>
          <w:p w14:paraId="478D76A0" w14:textId="77777777" w:rsidR="00542AA7" w:rsidRPr="00FF6722" w:rsidRDefault="00542AA7" w:rsidP="00542AA7">
            <w:pPr>
              <w:jc w:val="center"/>
              <w:rPr>
                <w:lang w:bidi="x-none"/>
              </w:rPr>
            </w:pPr>
            <w:r>
              <w:rPr>
                <w:lang w:bidi="x-none"/>
              </w:rPr>
              <w:t>0</w:t>
            </w:r>
          </w:p>
        </w:tc>
      </w:tr>
      <w:tr w:rsidR="00542AA7" w:rsidRPr="00FF6722" w14:paraId="1F388313" w14:textId="77777777" w:rsidTr="00542AA7">
        <w:trPr>
          <w:trHeight w:val="144"/>
          <w:jc w:val="center"/>
        </w:trPr>
        <w:tc>
          <w:tcPr>
            <w:tcW w:w="770" w:type="dxa"/>
            <w:shd w:val="clear" w:color="auto" w:fill="auto"/>
            <w:vAlign w:val="bottom"/>
          </w:tcPr>
          <w:p w14:paraId="1878925E" w14:textId="77777777" w:rsidR="00542AA7" w:rsidRPr="00FF6722" w:rsidRDefault="00542AA7" w:rsidP="00542AA7">
            <w:pPr>
              <w:jc w:val="center"/>
              <w:rPr>
                <w:lang w:bidi="x-none"/>
              </w:rPr>
            </w:pPr>
            <w:r w:rsidRPr="00FF6722">
              <w:rPr>
                <w:lang w:bidi="x-none"/>
              </w:rPr>
              <w:t>14.9</w:t>
            </w:r>
          </w:p>
        </w:tc>
        <w:tc>
          <w:tcPr>
            <w:tcW w:w="770" w:type="dxa"/>
            <w:shd w:val="clear" w:color="auto" w:fill="auto"/>
            <w:vAlign w:val="bottom"/>
          </w:tcPr>
          <w:p w14:paraId="6493ED3F" w14:textId="77777777" w:rsidR="00542AA7" w:rsidRPr="00FF6722" w:rsidRDefault="00542AA7" w:rsidP="00542AA7">
            <w:pPr>
              <w:jc w:val="center"/>
              <w:rPr>
                <w:lang w:bidi="x-none"/>
              </w:rPr>
            </w:pPr>
            <w:r w:rsidRPr="00FF6722">
              <w:rPr>
                <w:lang w:bidi="x-none"/>
              </w:rPr>
              <w:t>11</w:t>
            </w:r>
          </w:p>
        </w:tc>
        <w:tc>
          <w:tcPr>
            <w:tcW w:w="770" w:type="dxa"/>
            <w:shd w:val="clear" w:color="auto" w:fill="auto"/>
            <w:vAlign w:val="bottom"/>
          </w:tcPr>
          <w:p w14:paraId="1A018692" w14:textId="77777777" w:rsidR="00542AA7" w:rsidRPr="00FF6722" w:rsidRDefault="00542AA7" w:rsidP="00542AA7">
            <w:pPr>
              <w:jc w:val="center"/>
              <w:rPr>
                <w:lang w:bidi="x-none"/>
              </w:rPr>
            </w:pPr>
            <w:r w:rsidRPr="00FF6722">
              <w:rPr>
                <w:lang w:bidi="x-none"/>
              </w:rPr>
              <w:t>11</w:t>
            </w:r>
          </w:p>
        </w:tc>
        <w:tc>
          <w:tcPr>
            <w:tcW w:w="770" w:type="dxa"/>
          </w:tcPr>
          <w:p w14:paraId="47944C1B" w14:textId="77777777" w:rsidR="00542AA7" w:rsidRPr="00FF6722" w:rsidRDefault="00542AA7" w:rsidP="00542AA7">
            <w:pPr>
              <w:jc w:val="center"/>
              <w:rPr>
                <w:lang w:bidi="x-none"/>
              </w:rPr>
            </w:pPr>
            <w:r w:rsidRPr="00FF6722">
              <w:rPr>
                <w:lang w:bidi="x-none"/>
              </w:rPr>
              <w:t>0</w:t>
            </w:r>
          </w:p>
        </w:tc>
      </w:tr>
      <w:tr w:rsidR="00542AA7" w:rsidRPr="00FF6722" w14:paraId="684CDB0E" w14:textId="77777777" w:rsidTr="00542AA7">
        <w:trPr>
          <w:trHeight w:val="144"/>
          <w:jc w:val="center"/>
        </w:trPr>
        <w:tc>
          <w:tcPr>
            <w:tcW w:w="770" w:type="dxa"/>
            <w:shd w:val="clear" w:color="auto" w:fill="CCFFFF"/>
            <w:vAlign w:val="bottom"/>
          </w:tcPr>
          <w:p w14:paraId="56092C85" w14:textId="77777777" w:rsidR="00542AA7" w:rsidRPr="00FF6722" w:rsidRDefault="00542AA7" w:rsidP="00542AA7">
            <w:pPr>
              <w:jc w:val="center"/>
              <w:rPr>
                <w:lang w:bidi="x-none"/>
              </w:rPr>
            </w:pPr>
            <w:r w:rsidRPr="00FF6722">
              <w:rPr>
                <w:lang w:bidi="x-none"/>
              </w:rPr>
              <w:t>20</w:t>
            </w:r>
          </w:p>
        </w:tc>
        <w:tc>
          <w:tcPr>
            <w:tcW w:w="770" w:type="dxa"/>
            <w:shd w:val="clear" w:color="auto" w:fill="FF99CC"/>
            <w:vAlign w:val="bottom"/>
          </w:tcPr>
          <w:p w14:paraId="38FDC222" w14:textId="77777777" w:rsidR="00542AA7" w:rsidRPr="00FF6722" w:rsidRDefault="00542AA7" w:rsidP="00542AA7">
            <w:pPr>
              <w:jc w:val="center"/>
              <w:rPr>
                <w:lang w:bidi="x-none"/>
              </w:rPr>
            </w:pPr>
            <w:r w:rsidRPr="00FF6722">
              <w:rPr>
                <w:lang w:bidi="x-none"/>
              </w:rPr>
              <w:t>14.9</w:t>
            </w:r>
          </w:p>
        </w:tc>
        <w:tc>
          <w:tcPr>
            <w:tcW w:w="770" w:type="dxa"/>
            <w:shd w:val="clear" w:color="auto" w:fill="FFFF99"/>
            <w:vAlign w:val="bottom"/>
          </w:tcPr>
          <w:p w14:paraId="7A0D67B1" w14:textId="77777777" w:rsidR="00542AA7" w:rsidRPr="00FF6722" w:rsidRDefault="00542AA7" w:rsidP="00542AA7">
            <w:pPr>
              <w:jc w:val="center"/>
              <w:rPr>
                <w:lang w:bidi="x-none"/>
              </w:rPr>
            </w:pPr>
            <w:r w:rsidRPr="00FF6722">
              <w:rPr>
                <w:lang w:bidi="x-none"/>
              </w:rPr>
              <w:t>14.9</w:t>
            </w:r>
          </w:p>
        </w:tc>
        <w:tc>
          <w:tcPr>
            <w:tcW w:w="770" w:type="dxa"/>
            <w:shd w:val="clear" w:color="auto" w:fill="D9D9D9" w:themeFill="background1" w:themeFillShade="D9"/>
            <w:vAlign w:val="bottom"/>
          </w:tcPr>
          <w:p w14:paraId="6F4FED3B" w14:textId="77777777" w:rsidR="00542AA7" w:rsidRPr="00FF6722" w:rsidRDefault="00542AA7" w:rsidP="00542AA7">
            <w:pPr>
              <w:jc w:val="center"/>
              <w:rPr>
                <w:lang w:bidi="x-none"/>
              </w:rPr>
            </w:pPr>
            <w:r>
              <w:rPr>
                <w:lang w:bidi="x-none"/>
              </w:rPr>
              <w:t>0</w:t>
            </w:r>
          </w:p>
        </w:tc>
      </w:tr>
      <w:tr w:rsidR="00542AA7" w:rsidRPr="00FF6722" w14:paraId="72AE0238" w14:textId="77777777" w:rsidTr="00542AA7">
        <w:trPr>
          <w:trHeight w:val="144"/>
          <w:jc w:val="center"/>
        </w:trPr>
        <w:tc>
          <w:tcPr>
            <w:tcW w:w="770" w:type="dxa"/>
            <w:shd w:val="clear" w:color="auto" w:fill="auto"/>
            <w:vAlign w:val="bottom"/>
          </w:tcPr>
          <w:p w14:paraId="677C9435" w14:textId="77777777" w:rsidR="00542AA7" w:rsidRPr="00FF6722" w:rsidRDefault="00542AA7" w:rsidP="00542AA7">
            <w:pPr>
              <w:jc w:val="center"/>
              <w:rPr>
                <w:lang w:bidi="x-none"/>
              </w:rPr>
            </w:pPr>
            <w:r w:rsidRPr="00FF6722">
              <w:rPr>
                <w:lang w:bidi="x-none"/>
              </w:rPr>
              <w:t>25.1</w:t>
            </w:r>
          </w:p>
        </w:tc>
        <w:tc>
          <w:tcPr>
            <w:tcW w:w="770" w:type="dxa"/>
            <w:shd w:val="clear" w:color="auto" w:fill="auto"/>
            <w:vAlign w:val="bottom"/>
          </w:tcPr>
          <w:p w14:paraId="314E9337" w14:textId="77777777" w:rsidR="00542AA7" w:rsidRPr="00FF6722" w:rsidRDefault="00542AA7" w:rsidP="00542AA7">
            <w:pPr>
              <w:jc w:val="center"/>
              <w:rPr>
                <w:lang w:bidi="x-none"/>
              </w:rPr>
            </w:pPr>
            <w:r w:rsidRPr="00FF6722">
              <w:rPr>
                <w:lang w:bidi="x-none"/>
              </w:rPr>
              <w:t>18.8</w:t>
            </w:r>
          </w:p>
        </w:tc>
        <w:tc>
          <w:tcPr>
            <w:tcW w:w="770" w:type="dxa"/>
            <w:shd w:val="clear" w:color="auto" w:fill="auto"/>
            <w:vAlign w:val="bottom"/>
          </w:tcPr>
          <w:p w14:paraId="2E727647" w14:textId="77777777" w:rsidR="00542AA7" w:rsidRPr="00FF6722" w:rsidRDefault="00542AA7" w:rsidP="00542AA7">
            <w:pPr>
              <w:jc w:val="center"/>
              <w:rPr>
                <w:lang w:bidi="x-none"/>
              </w:rPr>
            </w:pPr>
            <w:r w:rsidRPr="00FF6722">
              <w:rPr>
                <w:lang w:bidi="x-none"/>
              </w:rPr>
              <w:t>18.8</w:t>
            </w:r>
          </w:p>
        </w:tc>
        <w:tc>
          <w:tcPr>
            <w:tcW w:w="770" w:type="dxa"/>
          </w:tcPr>
          <w:p w14:paraId="78305EB3" w14:textId="77777777" w:rsidR="00542AA7" w:rsidRPr="00FF6722" w:rsidRDefault="00542AA7" w:rsidP="00542AA7">
            <w:pPr>
              <w:jc w:val="center"/>
              <w:rPr>
                <w:lang w:bidi="x-none"/>
              </w:rPr>
            </w:pPr>
            <w:r w:rsidRPr="00FF6722">
              <w:rPr>
                <w:lang w:bidi="x-none"/>
              </w:rPr>
              <w:t>0</w:t>
            </w:r>
          </w:p>
        </w:tc>
      </w:tr>
      <w:tr w:rsidR="00542AA7" w:rsidRPr="00FF6722" w14:paraId="266988F9" w14:textId="77777777" w:rsidTr="00542AA7">
        <w:trPr>
          <w:trHeight w:val="144"/>
          <w:jc w:val="center"/>
        </w:trPr>
        <w:tc>
          <w:tcPr>
            <w:tcW w:w="770" w:type="dxa"/>
            <w:shd w:val="clear" w:color="auto" w:fill="CCFFFF"/>
            <w:vAlign w:val="bottom"/>
          </w:tcPr>
          <w:p w14:paraId="18980EAA" w14:textId="77777777" w:rsidR="00542AA7" w:rsidRPr="00FF6722" w:rsidRDefault="00542AA7" w:rsidP="00542AA7">
            <w:pPr>
              <w:jc w:val="center"/>
              <w:rPr>
                <w:lang w:bidi="x-none"/>
              </w:rPr>
            </w:pPr>
            <w:r w:rsidRPr="00FF6722">
              <w:rPr>
                <w:lang w:bidi="x-none"/>
              </w:rPr>
              <w:t>30.2</w:t>
            </w:r>
          </w:p>
        </w:tc>
        <w:tc>
          <w:tcPr>
            <w:tcW w:w="770" w:type="dxa"/>
            <w:shd w:val="clear" w:color="auto" w:fill="FF99CC"/>
            <w:vAlign w:val="bottom"/>
          </w:tcPr>
          <w:p w14:paraId="1C774E07" w14:textId="77777777" w:rsidR="00542AA7" w:rsidRPr="00FF6722" w:rsidRDefault="00542AA7" w:rsidP="00542AA7">
            <w:pPr>
              <w:jc w:val="center"/>
              <w:rPr>
                <w:lang w:bidi="x-none"/>
              </w:rPr>
            </w:pPr>
            <w:r w:rsidRPr="00FF6722">
              <w:rPr>
                <w:lang w:bidi="x-none"/>
              </w:rPr>
              <w:t>22.91</w:t>
            </w:r>
          </w:p>
        </w:tc>
        <w:tc>
          <w:tcPr>
            <w:tcW w:w="770" w:type="dxa"/>
            <w:shd w:val="clear" w:color="auto" w:fill="FFFF99"/>
            <w:vAlign w:val="bottom"/>
          </w:tcPr>
          <w:p w14:paraId="27F913D9" w14:textId="77777777" w:rsidR="00542AA7" w:rsidRPr="00FF6722" w:rsidRDefault="00542AA7" w:rsidP="00542AA7">
            <w:pPr>
              <w:jc w:val="center"/>
              <w:rPr>
                <w:lang w:bidi="x-none"/>
              </w:rPr>
            </w:pPr>
            <w:r w:rsidRPr="00FF6722">
              <w:rPr>
                <w:lang w:bidi="x-none"/>
              </w:rPr>
              <w:t>22.91</w:t>
            </w:r>
          </w:p>
        </w:tc>
        <w:tc>
          <w:tcPr>
            <w:tcW w:w="770" w:type="dxa"/>
            <w:shd w:val="clear" w:color="auto" w:fill="D9D9D9" w:themeFill="background1" w:themeFillShade="D9"/>
            <w:vAlign w:val="bottom"/>
          </w:tcPr>
          <w:p w14:paraId="197B333E" w14:textId="77777777" w:rsidR="00542AA7" w:rsidRPr="00FF6722" w:rsidRDefault="00542AA7" w:rsidP="00542AA7">
            <w:pPr>
              <w:jc w:val="center"/>
              <w:rPr>
                <w:lang w:bidi="x-none"/>
              </w:rPr>
            </w:pPr>
            <w:r>
              <w:rPr>
                <w:lang w:bidi="x-none"/>
              </w:rPr>
              <w:t>0</w:t>
            </w:r>
          </w:p>
        </w:tc>
      </w:tr>
      <w:tr w:rsidR="00542AA7" w:rsidRPr="00FF6722" w14:paraId="4DE6CFEB" w14:textId="77777777" w:rsidTr="00542AA7">
        <w:trPr>
          <w:trHeight w:val="144"/>
          <w:jc w:val="center"/>
        </w:trPr>
        <w:tc>
          <w:tcPr>
            <w:tcW w:w="770" w:type="dxa"/>
            <w:shd w:val="clear" w:color="auto" w:fill="auto"/>
            <w:vAlign w:val="bottom"/>
          </w:tcPr>
          <w:p w14:paraId="39B87BD1" w14:textId="77777777" w:rsidR="00542AA7" w:rsidRPr="00FF6722" w:rsidRDefault="00542AA7" w:rsidP="00542AA7">
            <w:pPr>
              <w:jc w:val="center"/>
              <w:rPr>
                <w:lang w:bidi="x-none"/>
              </w:rPr>
            </w:pPr>
            <w:r w:rsidRPr="00FF6722">
              <w:rPr>
                <w:lang w:bidi="x-none"/>
              </w:rPr>
              <w:t>34.9</w:t>
            </w:r>
          </w:p>
        </w:tc>
        <w:tc>
          <w:tcPr>
            <w:tcW w:w="770" w:type="dxa"/>
            <w:shd w:val="clear" w:color="auto" w:fill="auto"/>
            <w:vAlign w:val="bottom"/>
          </w:tcPr>
          <w:p w14:paraId="7572E613" w14:textId="77777777" w:rsidR="00542AA7" w:rsidRPr="00FF6722" w:rsidRDefault="00542AA7" w:rsidP="00542AA7">
            <w:pPr>
              <w:jc w:val="center"/>
              <w:rPr>
                <w:lang w:bidi="x-none"/>
              </w:rPr>
            </w:pPr>
            <w:r w:rsidRPr="00FF6722">
              <w:rPr>
                <w:lang w:bidi="x-none"/>
              </w:rPr>
              <w:t>26.78</w:t>
            </w:r>
          </w:p>
        </w:tc>
        <w:tc>
          <w:tcPr>
            <w:tcW w:w="770" w:type="dxa"/>
            <w:shd w:val="clear" w:color="auto" w:fill="auto"/>
            <w:vAlign w:val="bottom"/>
          </w:tcPr>
          <w:p w14:paraId="53F16F59" w14:textId="77777777" w:rsidR="00542AA7" w:rsidRPr="00FF6722" w:rsidRDefault="00542AA7" w:rsidP="00542AA7">
            <w:pPr>
              <w:jc w:val="center"/>
              <w:rPr>
                <w:lang w:bidi="x-none"/>
              </w:rPr>
            </w:pPr>
            <w:r w:rsidRPr="00FF6722">
              <w:rPr>
                <w:lang w:bidi="x-none"/>
              </w:rPr>
              <w:t>26.78</w:t>
            </w:r>
          </w:p>
        </w:tc>
        <w:tc>
          <w:tcPr>
            <w:tcW w:w="770" w:type="dxa"/>
          </w:tcPr>
          <w:p w14:paraId="70497A54" w14:textId="77777777" w:rsidR="00542AA7" w:rsidRPr="00FF6722" w:rsidRDefault="00542AA7" w:rsidP="00542AA7">
            <w:pPr>
              <w:jc w:val="center"/>
              <w:rPr>
                <w:lang w:bidi="x-none"/>
              </w:rPr>
            </w:pPr>
            <w:r w:rsidRPr="00FF6722">
              <w:rPr>
                <w:lang w:bidi="x-none"/>
              </w:rPr>
              <w:t>0</w:t>
            </w:r>
          </w:p>
        </w:tc>
      </w:tr>
      <w:tr w:rsidR="00542AA7" w:rsidRPr="00FF6722" w14:paraId="57E00551" w14:textId="77777777" w:rsidTr="00542AA7">
        <w:trPr>
          <w:trHeight w:val="144"/>
          <w:jc w:val="center"/>
        </w:trPr>
        <w:tc>
          <w:tcPr>
            <w:tcW w:w="770" w:type="dxa"/>
            <w:shd w:val="clear" w:color="auto" w:fill="CCFFFF"/>
            <w:vAlign w:val="bottom"/>
          </w:tcPr>
          <w:p w14:paraId="2AC33753" w14:textId="77777777" w:rsidR="00542AA7" w:rsidRPr="00FF6722" w:rsidRDefault="00542AA7" w:rsidP="00542AA7">
            <w:pPr>
              <w:jc w:val="center"/>
              <w:rPr>
                <w:lang w:bidi="x-none"/>
              </w:rPr>
            </w:pPr>
            <w:r w:rsidRPr="00FF6722">
              <w:rPr>
                <w:lang w:bidi="x-none"/>
              </w:rPr>
              <w:t>40</w:t>
            </w:r>
          </w:p>
        </w:tc>
        <w:tc>
          <w:tcPr>
            <w:tcW w:w="770" w:type="dxa"/>
            <w:shd w:val="clear" w:color="auto" w:fill="FF99CC"/>
            <w:vAlign w:val="bottom"/>
          </w:tcPr>
          <w:p w14:paraId="1E2E3389" w14:textId="77777777" w:rsidR="00542AA7" w:rsidRPr="00FF6722" w:rsidRDefault="00542AA7" w:rsidP="00542AA7">
            <w:pPr>
              <w:jc w:val="center"/>
              <w:rPr>
                <w:lang w:bidi="x-none"/>
              </w:rPr>
            </w:pPr>
            <w:r w:rsidRPr="00FF6722">
              <w:rPr>
                <w:lang w:bidi="x-none"/>
              </w:rPr>
              <w:t>30.98</w:t>
            </w:r>
          </w:p>
        </w:tc>
        <w:tc>
          <w:tcPr>
            <w:tcW w:w="770" w:type="dxa"/>
            <w:shd w:val="clear" w:color="auto" w:fill="FFFF99"/>
            <w:vAlign w:val="bottom"/>
          </w:tcPr>
          <w:p w14:paraId="6D7BD413" w14:textId="77777777" w:rsidR="00542AA7" w:rsidRPr="00FF6722" w:rsidRDefault="00542AA7" w:rsidP="00542AA7">
            <w:pPr>
              <w:jc w:val="center"/>
              <w:rPr>
                <w:lang w:bidi="x-none"/>
              </w:rPr>
            </w:pPr>
            <w:r w:rsidRPr="00FF6722">
              <w:rPr>
                <w:lang w:bidi="x-none"/>
              </w:rPr>
              <w:t>30.98</w:t>
            </w:r>
          </w:p>
        </w:tc>
        <w:tc>
          <w:tcPr>
            <w:tcW w:w="770" w:type="dxa"/>
            <w:shd w:val="clear" w:color="auto" w:fill="D9D9D9" w:themeFill="background1" w:themeFillShade="D9"/>
            <w:vAlign w:val="bottom"/>
          </w:tcPr>
          <w:p w14:paraId="4283DDC7" w14:textId="77777777" w:rsidR="00542AA7" w:rsidRPr="00FF6722" w:rsidRDefault="00542AA7" w:rsidP="00542AA7">
            <w:pPr>
              <w:jc w:val="center"/>
              <w:rPr>
                <w:lang w:bidi="x-none"/>
              </w:rPr>
            </w:pPr>
            <w:r>
              <w:rPr>
                <w:lang w:bidi="x-none"/>
              </w:rPr>
              <w:t>0</w:t>
            </w:r>
          </w:p>
        </w:tc>
      </w:tr>
      <w:tr w:rsidR="00542AA7" w:rsidRPr="00FF6722" w14:paraId="051B515A" w14:textId="77777777" w:rsidTr="00542AA7">
        <w:trPr>
          <w:trHeight w:val="144"/>
          <w:jc w:val="center"/>
        </w:trPr>
        <w:tc>
          <w:tcPr>
            <w:tcW w:w="770" w:type="dxa"/>
            <w:shd w:val="clear" w:color="auto" w:fill="auto"/>
            <w:vAlign w:val="bottom"/>
          </w:tcPr>
          <w:p w14:paraId="4838CF17" w14:textId="77777777" w:rsidR="00542AA7" w:rsidRPr="00FF6722" w:rsidRDefault="00542AA7" w:rsidP="00542AA7">
            <w:pPr>
              <w:jc w:val="center"/>
              <w:rPr>
                <w:lang w:bidi="x-none"/>
              </w:rPr>
            </w:pPr>
            <w:r w:rsidRPr="00FF6722">
              <w:rPr>
                <w:lang w:bidi="x-none"/>
              </w:rPr>
              <w:t>45.1</w:t>
            </w:r>
          </w:p>
        </w:tc>
        <w:tc>
          <w:tcPr>
            <w:tcW w:w="770" w:type="dxa"/>
            <w:shd w:val="clear" w:color="auto" w:fill="auto"/>
            <w:vAlign w:val="bottom"/>
          </w:tcPr>
          <w:p w14:paraId="466D76F4" w14:textId="77777777" w:rsidR="00542AA7" w:rsidRPr="00FF6722" w:rsidRDefault="00542AA7" w:rsidP="00542AA7">
            <w:pPr>
              <w:jc w:val="center"/>
              <w:rPr>
                <w:lang w:bidi="x-none"/>
              </w:rPr>
            </w:pPr>
            <w:r w:rsidRPr="00FF6722">
              <w:rPr>
                <w:lang w:bidi="x-none"/>
              </w:rPr>
              <w:t>35.48</w:t>
            </w:r>
          </w:p>
        </w:tc>
        <w:tc>
          <w:tcPr>
            <w:tcW w:w="770" w:type="dxa"/>
            <w:shd w:val="clear" w:color="auto" w:fill="auto"/>
            <w:vAlign w:val="bottom"/>
          </w:tcPr>
          <w:p w14:paraId="7079410F" w14:textId="77777777" w:rsidR="00542AA7" w:rsidRPr="00FF6722" w:rsidRDefault="00542AA7" w:rsidP="00542AA7">
            <w:pPr>
              <w:jc w:val="center"/>
              <w:rPr>
                <w:lang w:bidi="x-none"/>
              </w:rPr>
            </w:pPr>
            <w:r w:rsidRPr="00FF6722">
              <w:rPr>
                <w:lang w:bidi="x-none"/>
              </w:rPr>
              <w:t>35.48</w:t>
            </w:r>
          </w:p>
        </w:tc>
        <w:tc>
          <w:tcPr>
            <w:tcW w:w="770" w:type="dxa"/>
          </w:tcPr>
          <w:p w14:paraId="76C1D528" w14:textId="77777777" w:rsidR="00542AA7" w:rsidRPr="00FF6722" w:rsidRDefault="00542AA7" w:rsidP="00542AA7">
            <w:pPr>
              <w:jc w:val="center"/>
              <w:rPr>
                <w:lang w:bidi="x-none"/>
              </w:rPr>
            </w:pPr>
            <w:r w:rsidRPr="00FF6722">
              <w:rPr>
                <w:lang w:bidi="x-none"/>
              </w:rPr>
              <w:t>0</w:t>
            </w:r>
          </w:p>
        </w:tc>
      </w:tr>
      <w:tr w:rsidR="00542AA7" w:rsidRPr="00FF6722" w14:paraId="39BB2F55" w14:textId="77777777" w:rsidTr="00542AA7">
        <w:trPr>
          <w:trHeight w:val="144"/>
          <w:jc w:val="center"/>
        </w:trPr>
        <w:tc>
          <w:tcPr>
            <w:tcW w:w="770" w:type="dxa"/>
            <w:shd w:val="clear" w:color="auto" w:fill="CCFFFF"/>
            <w:vAlign w:val="bottom"/>
          </w:tcPr>
          <w:p w14:paraId="040C99E1" w14:textId="77777777" w:rsidR="00542AA7" w:rsidRPr="00FF6722" w:rsidRDefault="00542AA7" w:rsidP="00542AA7">
            <w:pPr>
              <w:jc w:val="center"/>
              <w:rPr>
                <w:lang w:bidi="x-none"/>
              </w:rPr>
            </w:pPr>
            <w:r w:rsidRPr="00FF6722">
              <w:rPr>
                <w:lang w:bidi="x-none"/>
              </w:rPr>
              <w:t>49.8</w:t>
            </w:r>
          </w:p>
        </w:tc>
        <w:tc>
          <w:tcPr>
            <w:tcW w:w="770" w:type="dxa"/>
            <w:shd w:val="clear" w:color="auto" w:fill="FF99CC"/>
            <w:vAlign w:val="bottom"/>
          </w:tcPr>
          <w:p w14:paraId="7277F858" w14:textId="77777777" w:rsidR="00542AA7" w:rsidRPr="00FF6722" w:rsidRDefault="00542AA7" w:rsidP="00542AA7">
            <w:pPr>
              <w:jc w:val="center"/>
              <w:rPr>
                <w:b/>
                <w:lang w:bidi="x-none"/>
              </w:rPr>
            </w:pPr>
            <w:r w:rsidRPr="00FF6722">
              <w:rPr>
                <w:lang w:bidi="x-none"/>
              </w:rPr>
              <w:t>39.82</w:t>
            </w:r>
          </w:p>
        </w:tc>
        <w:tc>
          <w:tcPr>
            <w:tcW w:w="770" w:type="dxa"/>
            <w:shd w:val="clear" w:color="auto" w:fill="FFFF99"/>
            <w:vAlign w:val="bottom"/>
          </w:tcPr>
          <w:p w14:paraId="7F7F3D3A" w14:textId="77777777" w:rsidR="00542AA7" w:rsidRPr="00FF6722" w:rsidRDefault="00542AA7" w:rsidP="00542AA7">
            <w:pPr>
              <w:jc w:val="center"/>
              <w:rPr>
                <w:lang w:bidi="x-none"/>
              </w:rPr>
            </w:pPr>
            <w:r w:rsidRPr="00542AA7">
              <w:rPr>
                <w:shd w:val="clear" w:color="auto" w:fill="FFFF99"/>
                <w:lang w:bidi="x-none"/>
              </w:rPr>
              <w:t>39.89</w:t>
            </w:r>
          </w:p>
        </w:tc>
        <w:tc>
          <w:tcPr>
            <w:tcW w:w="770" w:type="dxa"/>
            <w:shd w:val="clear" w:color="auto" w:fill="D9D9D9" w:themeFill="background1" w:themeFillShade="D9"/>
            <w:vAlign w:val="bottom"/>
          </w:tcPr>
          <w:p w14:paraId="4F5CE49D" w14:textId="77777777" w:rsidR="00542AA7" w:rsidRPr="00FF6722" w:rsidRDefault="00542AA7" w:rsidP="00542AA7">
            <w:pPr>
              <w:jc w:val="center"/>
              <w:rPr>
                <w:lang w:bidi="x-none"/>
              </w:rPr>
            </w:pPr>
            <w:r>
              <w:rPr>
                <w:lang w:bidi="x-none"/>
              </w:rPr>
              <w:t>0</w:t>
            </w:r>
          </w:p>
        </w:tc>
      </w:tr>
      <w:tr w:rsidR="00542AA7" w:rsidRPr="00FF6722" w14:paraId="2D31114E" w14:textId="77777777" w:rsidTr="00542AA7">
        <w:trPr>
          <w:trHeight w:val="144"/>
          <w:jc w:val="center"/>
        </w:trPr>
        <w:tc>
          <w:tcPr>
            <w:tcW w:w="770" w:type="dxa"/>
            <w:shd w:val="clear" w:color="auto" w:fill="auto"/>
            <w:vAlign w:val="bottom"/>
          </w:tcPr>
          <w:p w14:paraId="5D13909E" w14:textId="77777777" w:rsidR="00542AA7" w:rsidRPr="00FF6722" w:rsidRDefault="00542AA7" w:rsidP="00542AA7">
            <w:pPr>
              <w:jc w:val="center"/>
              <w:rPr>
                <w:lang w:bidi="x-none"/>
              </w:rPr>
            </w:pPr>
            <w:r w:rsidRPr="00FF6722">
              <w:rPr>
                <w:lang w:bidi="x-none"/>
              </w:rPr>
              <w:t>54.9</w:t>
            </w:r>
          </w:p>
        </w:tc>
        <w:tc>
          <w:tcPr>
            <w:tcW w:w="770" w:type="dxa"/>
            <w:shd w:val="clear" w:color="auto" w:fill="auto"/>
            <w:vAlign w:val="bottom"/>
          </w:tcPr>
          <w:p w14:paraId="529FD4D7" w14:textId="77777777" w:rsidR="00542AA7" w:rsidRPr="00FF6722" w:rsidRDefault="00542AA7" w:rsidP="00542AA7">
            <w:pPr>
              <w:jc w:val="center"/>
              <w:rPr>
                <w:lang w:bidi="x-none"/>
              </w:rPr>
            </w:pPr>
            <w:r w:rsidRPr="00FF6722">
              <w:rPr>
                <w:lang w:bidi="x-none"/>
              </w:rPr>
              <w:t>44.71</w:t>
            </w:r>
          </w:p>
        </w:tc>
        <w:tc>
          <w:tcPr>
            <w:tcW w:w="770" w:type="dxa"/>
            <w:shd w:val="clear" w:color="auto" w:fill="auto"/>
            <w:vAlign w:val="bottom"/>
          </w:tcPr>
          <w:p w14:paraId="58B514F8" w14:textId="77777777" w:rsidR="00542AA7" w:rsidRPr="00FF6722" w:rsidRDefault="00542AA7" w:rsidP="00542AA7">
            <w:pPr>
              <w:jc w:val="center"/>
              <w:rPr>
                <w:lang w:bidi="x-none"/>
              </w:rPr>
            </w:pPr>
            <w:r w:rsidRPr="00FF6722">
              <w:rPr>
                <w:lang w:bidi="x-none"/>
              </w:rPr>
              <w:t>44.71</w:t>
            </w:r>
          </w:p>
        </w:tc>
        <w:tc>
          <w:tcPr>
            <w:tcW w:w="770" w:type="dxa"/>
          </w:tcPr>
          <w:p w14:paraId="35F25845" w14:textId="77777777" w:rsidR="00542AA7" w:rsidRPr="00FF6722" w:rsidRDefault="00542AA7" w:rsidP="00542AA7">
            <w:pPr>
              <w:jc w:val="center"/>
              <w:rPr>
                <w:lang w:bidi="x-none"/>
              </w:rPr>
            </w:pPr>
            <w:r w:rsidRPr="00FF6722">
              <w:rPr>
                <w:lang w:bidi="x-none"/>
              </w:rPr>
              <w:t>0</w:t>
            </w:r>
          </w:p>
        </w:tc>
      </w:tr>
      <w:tr w:rsidR="00542AA7" w:rsidRPr="00FF6722" w14:paraId="6DC7C020" w14:textId="77777777" w:rsidTr="00542AA7">
        <w:trPr>
          <w:trHeight w:val="144"/>
          <w:jc w:val="center"/>
        </w:trPr>
        <w:tc>
          <w:tcPr>
            <w:tcW w:w="770" w:type="dxa"/>
            <w:shd w:val="clear" w:color="auto" w:fill="CCFFFF"/>
            <w:vAlign w:val="bottom"/>
          </w:tcPr>
          <w:p w14:paraId="4E71A6B1" w14:textId="77777777" w:rsidR="00542AA7" w:rsidRPr="00FF6722" w:rsidRDefault="00542AA7" w:rsidP="00542AA7">
            <w:pPr>
              <w:jc w:val="center"/>
              <w:rPr>
                <w:lang w:bidi="x-none"/>
              </w:rPr>
            </w:pPr>
            <w:r w:rsidRPr="00FF6722">
              <w:rPr>
                <w:lang w:bidi="x-none"/>
              </w:rPr>
              <w:t>60</w:t>
            </w:r>
          </w:p>
        </w:tc>
        <w:tc>
          <w:tcPr>
            <w:tcW w:w="770" w:type="dxa"/>
            <w:shd w:val="clear" w:color="auto" w:fill="FF99CC"/>
            <w:vAlign w:val="bottom"/>
          </w:tcPr>
          <w:p w14:paraId="7914A778" w14:textId="77777777" w:rsidR="00542AA7" w:rsidRPr="00FF6722" w:rsidRDefault="00542AA7" w:rsidP="00542AA7">
            <w:pPr>
              <w:jc w:val="center"/>
              <w:rPr>
                <w:lang w:bidi="x-none"/>
              </w:rPr>
            </w:pPr>
            <w:r w:rsidRPr="00FF6722">
              <w:rPr>
                <w:lang w:bidi="x-none"/>
              </w:rPr>
              <w:t>49.8</w:t>
            </w:r>
          </w:p>
        </w:tc>
        <w:tc>
          <w:tcPr>
            <w:tcW w:w="770" w:type="dxa"/>
            <w:shd w:val="clear" w:color="auto" w:fill="FFFF99"/>
            <w:vAlign w:val="bottom"/>
          </w:tcPr>
          <w:p w14:paraId="28699843" w14:textId="77777777" w:rsidR="00542AA7" w:rsidRPr="00FF6722" w:rsidRDefault="00542AA7" w:rsidP="00542AA7">
            <w:pPr>
              <w:jc w:val="center"/>
              <w:rPr>
                <w:lang w:bidi="x-none"/>
              </w:rPr>
            </w:pPr>
            <w:r w:rsidRPr="00542AA7">
              <w:rPr>
                <w:shd w:val="clear" w:color="auto" w:fill="FFFF99"/>
                <w:lang w:bidi="x-none"/>
              </w:rPr>
              <w:t>49</w:t>
            </w:r>
            <w:r w:rsidRPr="00FF6722">
              <w:rPr>
                <w:lang w:bidi="x-none"/>
              </w:rPr>
              <w:t>.8</w:t>
            </w:r>
          </w:p>
        </w:tc>
        <w:tc>
          <w:tcPr>
            <w:tcW w:w="770" w:type="dxa"/>
            <w:shd w:val="clear" w:color="auto" w:fill="D9D9D9" w:themeFill="background1" w:themeFillShade="D9"/>
            <w:vAlign w:val="bottom"/>
          </w:tcPr>
          <w:p w14:paraId="76030AF1" w14:textId="77777777" w:rsidR="00542AA7" w:rsidRPr="00FF6722" w:rsidRDefault="00542AA7" w:rsidP="00542AA7">
            <w:pPr>
              <w:jc w:val="center"/>
              <w:rPr>
                <w:lang w:bidi="x-none"/>
              </w:rPr>
            </w:pPr>
            <w:r>
              <w:rPr>
                <w:lang w:bidi="x-none"/>
              </w:rPr>
              <w:t>0</w:t>
            </w:r>
          </w:p>
        </w:tc>
      </w:tr>
      <w:tr w:rsidR="00542AA7" w:rsidRPr="00FF6722" w14:paraId="73999527" w14:textId="77777777" w:rsidTr="00542AA7">
        <w:trPr>
          <w:trHeight w:val="144"/>
          <w:jc w:val="center"/>
        </w:trPr>
        <w:tc>
          <w:tcPr>
            <w:tcW w:w="770" w:type="dxa"/>
            <w:shd w:val="clear" w:color="auto" w:fill="auto"/>
            <w:vAlign w:val="bottom"/>
          </w:tcPr>
          <w:p w14:paraId="23228024" w14:textId="77777777" w:rsidR="00542AA7" w:rsidRPr="00FF6722" w:rsidRDefault="00542AA7" w:rsidP="00542AA7">
            <w:pPr>
              <w:jc w:val="center"/>
              <w:rPr>
                <w:lang w:bidi="x-none"/>
              </w:rPr>
            </w:pPr>
            <w:r w:rsidRPr="00FF6722">
              <w:rPr>
                <w:lang w:bidi="x-none"/>
              </w:rPr>
              <w:t>65.1</w:t>
            </w:r>
          </w:p>
        </w:tc>
        <w:tc>
          <w:tcPr>
            <w:tcW w:w="770" w:type="dxa"/>
            <w:shd w:val="clear" w:color="auto" w:fill="auto"/>
            <w:vAlign w:val="bottom"/>
          </w:tcPr>
          <w:p w14:paraId="7D9AA9EF" w14:textId="77777777" w:rsidR="00542AA7" w:rsidRPr="00FF6722" w:rsidRDefault="00542AA7" w:rsidP="00542AA7">
            <w:pPr>
              <w:jc w:val="center"/>
              <w:rPr>
                <w:lang w:bidi="x-none"/>
              </w:rPr>
            </w:pPr>
            <w:r w:rsidRPr="00FF6722">
              <w:rPr>
                <w:lang w:bidi="x-none"/>
              </w:rPr>
              <w:t>54.9</w:t>
            </w:r>
          </w:p>
        </w:tc>
        <w:tc>
          <w:tcPr>
            <w:tcW w:w="770" w:type="dxa"/>
            <w:shd w:val="clear" w:color="auto" w:fill="auto"/>
            <w:vAlign w:val="bottom"/>
          </w:tcPr>
          <w:p w14:paraId="31763341" w14:textId="77777777" w:rsidR="00542AA7" w:rsidRPr="00FF6722" w:rsidRDefault="00542AA7" w:rsidP="00542AA7">
            <w:pPr>
              <w:jc w:val="center"/>
              <w:rPr>
                <w:lang w:bidi="x-none"/>
              </w:rPr>
            </w:pPr>
            <w:r w:rsidRPr="00FF6722">
              <w:rPr>
                <w:lang w:bidi="x-none"/>
              </w:rPr>
              <w:t>54.9</w:t>
            </w:r>
          </w:p>
        </w:tc>
        <w:tc>
          <w:tcPr>
            <w:tcW w:w="770" w:type="dxa"/>
          </w:tcPr>
          <w:p w14:paraId="1E992127" w14:textId="77777777" w:rsidR="00542AA7" w:rsidRPr="00FF6722" w:rsidRDefault="00542AA7" w:rsidP="00542AA7">
            <w:pPr>
              <w:jc w:val="center"/>
              <w:rPr>
                <w:lang w:bidi="x-none"/>
              </w:rPr>
            </w:pPr>
            <w:r w:rsidRPr="00FF6722">
              <w:rPr>
                <w:lang w:bidi="x-none"/>
              </w:rPr>
              <w:t>0</w:t>
            </w:r>
          </w:p>
        </w:tc>
      </w:tr>
      <w:tr w:rsidR="00542AA7" w:rsidRPr="00FF6722" w14:paraId="26009757" w14:textId="77777777" w:rsidTr="00542AA7">
        <w:trPr>
          <w:trHeight w:val="144"/>
          <w:jc w:val="center"/>
        </w:trPr>
        <w:tc>
          <w:tcPr>
            <w:tcW w:w="770" w:type="dxa"/>
            <w:shd w:val="clear" w:color="auto" w:fill="CCFFFF"/>
            <w:vAlign w:val="bottom"/>
          </w:tcPr>
          <w:p w14:paraId="65FBFE04" w14:textId="77777777" w:rsidR="00542AA7" w:rsidRPr="00FF6722" w:rsidRDefault="00542AA7" w:rsidP="00542AA7">
            <w:pPr>
              <w:jc w:val="center"/>
              <w:rPr>
                <w:lang w:bidi="x-none"/>
              </w:rPr>
            </w:pPr>
            <w:r w:rsidRPr="00FF6722">
              <w:rPr>
                <w:lang w:bidi="x-none"/>
              </w:rPr>
              <w:t>69.8</w:t>
            </w:r>
          </w:p>
        </w:tc>
        <w:tc>
          <w:tcPr>
            <w:tcW w:w="770" w:type="dxa"/>
            <w:shd w:val="clear" w:color="auto" w:fill="FF99CC"/>
            <w:vAlign w:val="bottom"/>
          </w:tcPr>
          <w:p w14:paraId="0F4CBB3E" w14:textId="77777777" w:rsidR="00542AA7" w:rsidRPr="00FF6722" w:rsidRDefault="00542AA7" w:rsidP="00542AA7">
            <w:pPr>
              <w:jc w:val="center"/>
              <w:rPr>
                <w:lang w:bidi="x-none"/>
              </w:rPr>
            </w:pPr>
            <w:r w:rsidRPr="00FF6722">
              <w:rPr>
                <w:lang w:bidi="x-none"/>
              </w:rPr>
              <w:t>60.16</w:t>
            </w:r>
          </w:p>
        </w:tc>
        <w:tc>
          <w:tcPr>
            <w:tcW w:w="770" w:type="dxa"/>
            <w:shd w:val="clear" w:color="auto" w:fill="FFFF99"/>
            <w:vAlign w:val="bottom"/>
          </w:tcPr>
          <w:p w14:paraId="0DB8008F" w14:textId="77777777" w:rsidR="00542AA7" w:rsidRPr="00FF6722" w:rsidRDefault="00542AA7" w:rsidP="00542AA7">
            <w:pPr>
              <w:jc w:val="center"/>
              <w:rPr>
                <w:lang w:bidi="x-none"/>
              </w:rPr>
            </w:pPr>
            <w:r w:rsidRPr="00542AA7">
              <w:rPr>
                <w:shd w:val="clear" w:color="auto" w:fill="FFFF99"/>
                <w:lang w:bidi="x-none"/>
              </w:rPr>
              <w:t>60.</w:t>
            </w:r>
            <w:r w:rsidRPr="00FF6722">
              <w:rPr>
                <w:lang w:bidi="x-none"/>
              </w:rPr>
              <w:t>16</w:t>
            </w:r>
          </w:p>
        </w:tc>
        <w:tc>
          <w:tcPr>
            <w:tcW w:w="770" w:type="dxa"/>
            <w:shd w:val="clear" w:color="auto" w:fill="D9D9D9" w:themeFill="background1" w:themeFillShade="D9"/>
            <w:vAlign w:val="bottom"/>
          </w:tcPr>
          <w:p w14:paraId="66FA28EA" w14:textId="77777777" w:rsidR="00542AA7" w:rsidRPr="00FF6722" w:rsidRDefault="00542AA7" w:rsidP="00542AA7">
            <w:pPr>
              <w:jc w:val="center"/>
              <w:rPr>
                <w:lang w:bidi="x-none"/>
              </w:rPr>
            </w:pPr>
            <w:r>
              <w:rPr>
                <w:lang w:bidi="x-none"/>
              </w:rPr>
              <w:t>0</w:t>
            </w:r>
          </w:p>
        </w:tc>
      </w:tr>
      <w:tr w:rsidR="00542AA7" w:rsidRPr="00FF6722" w14:paraId="4324EB56" w14:textId="77777777" w:rsidTr="00542AA7">
        <w:trPr>
          <w:trHeight w:val="144"/>
          <w:jc w:val="center"/>
        </w:trPr>
        <w:tc>
          <w:tcPr>
            <w:tcW w:w="770" w:type="dxa"/>
            <w:shd w:val="clear" w:color="auto" w:fill="auto"/>
            <w:vAlign w:val="bottom"/>
          </w:tcPr>
          <w:p w14:paraId="7FBAA185" w14:textId="77777777" w:rsidR="00542AA7" w:rsidRPr="00FF6722" w:rsidRDefault="00542AA7" w:rsidP="00542AA7">
            <w:pPr>
              <w:jc w:val="center"/>
              <w:rPr>
                <w:lang w:bidi="x-none"/>
              </w:rPr>
            </w:pPr>
            <w:r w:rsidRPr="00FF6722">
              <w:rPr>
                <w:lang w:bidi="x-none"/>
              </w:rPr>
              <w:t>74.9</w:t>
            </w:r>
          </w:p>
        </w:tc>
        <w:tc>
          <w:tcPr>
            <w:tcW w:w="770" w:type="dxa"/>
            <w:shd w:val="clear" w:color="auto" w:fill="auto"/>
            <w:vAlign w:val="bottom"/>
          </w:tcPr>
          <w:p w14:paraId="35D35F02" w14:textId="77777777" w:rsidR="00542AA7" w:rsidRPr="00FF6722" w:rsidRDefault="00542AA7" w:rsidP="00542AA7">
            <w:pPr>
              <w:jc w:val="center"/>
              <w:rPr>
                <w:lang w:bidi="x-none"/>
              </w:rPr>
            </w:pPr>
            <w:r w:rsidRPr="00FF6722">
              <w:rPr>
                <w:lang w:bidi="x-none"/>
              </w:rPr>
              <w:t>66.07</w:t>
            </w:r>
          </w:p>
        </w:tc>
        <w:tc>
          <w:tcPr>
            <w:tcW w:w="770" w:type="dxa"/>
            <w:shd w:val="clear" w:color="auto" w:fill="auto"/>
            <w:vAlign w:val="bottom"/>
          </w:tcPr>
          <w:p w14:paraId="08F09497" w14:textId="77777777" w:rsidR="00542AA7" w:rsidRPr="00FF6722" w:rsidRDefault="00542AA7" w:rsidP="00542AA7">
            <w:pPr>
              <w:jc w:val="center"/>
              <w:rPr>
                <w:lang w:bidi="x-none"/>
              </w:rPr>
            </w:pPr>
            <w:r w:rsidRPr="00FF6722">
              <w:rPr>
                <w:lang w:bidi="x-none"/>
              </w:rPr>
              <w:t>66.07</w:t>
            </w:r>
          </w:p>
        </w:tc>
        <w:tc>
          <w:tcPr>
            <w:tcW w:w="770" w:type="dxa"/>
          </w:tcPr>
          <w:p w14:paraId="10811590" w14:textId="77777777" w:rsidR="00542AA7" w:rsidRPr="00FF6722" w:rsidRDefault="00542AA7" w:rsidP="00542AA7">
            <w:pPr>
              <w:jc w:val="center"/>
              <w:rPr>
                <w:lang w:bidi="x-none"/>
              </w:rPr>
            </w:pPr>
            <w:r w:rsidRPr="00FF6722">
              <w:rPr>
                <w:lang w:bidi="x-none"/>
              </w:rPr>
              <w:t>0</w:t>
            </w:r>
          </w:p>
        </w:tc>
      </w:tr>
      <w:tr w:rsidR="00542AA7" w:rsidRPr="00FF6722" w14:paraId="30A31CB9" w14:textId="77777777" w:rsidTr="00542AA7">
        <w:trPr>
          <w:trHeight w:val="144"/>
          <w:jc w:val="center"/>
        </w:trPr>
        <w:tc>
          <w:tcPr>
            <w:tcW w:w="770" w:type="dxa"/>
            <w:shd w:val="clear" w:color="auto" w:fill="CCFFFF"/>
            <w:vAlign w:val="bottom"/>
          </w:tcPr>
          <w:p w14:paraId="7A651AA8" w14:textId="77777777" w:rsidR="00542AA7" w:rsidRPr="00FF6722" w:rsidRDefault="00542AA7" w:rsidP="00542AA7">
            <w:pPr>
              <w:jc w:val="center"/>
              <w:rPr>
                <w:lang w:bidi="x-none"/>
              </w:rPr>
            </w:pPr>
            <w:r w:rsidRPr="00FF6722">
              <w:rPr>
                <w:lang w:bidi="x-none"/>
              </w:rPr>
              <w:t>80</w:t>
            </w:r>
          </w:p>
        </w:tc>
        <w:tc>
          <w:tcPr>
            <w:tcW w:w="770" w:type="dxa"/>
            <w:shd w:val="clear" w:color="auto" w:fill="FF99CC"/>
            <w:vAlign w:val="bottom"/>
          </w:tcPr>
          <w:p w14:paraId="13BC85C3" w14:textId="77777777" w:rsidR="00542AA7" w:rsidRPr="00FF6722" w:rsidRDefault="00542AA7" w:rsidP="00542AA7">
            <w:pPr>
              <w:jc w:val="center"/>
              <w:rPr>
                <w:lang w:bidi="x-none"/>
              </w:rPr>
            </w:pPr>
            <w:r w:rsidRPr="00FF6722">
              <w:rPr>
                <w:lang w:bidi="x-none"/>
              </w:rPr>
              <w:t>71.77</w:t>
            </w:r>
          </w:p>
        </w:tc>
        <w:tc>
          <w:tcPr>
            <w:tcW w:w="770" w:type="dxa"/>
            <w:shd w:val="clear" w:color="auto" w:fill="FFFF99"/>
            <w:vAlign w:val="bottom"/>
          </w:tcPr>
          <w:p w14:paraId="42643E84" w14:textId="77777777" w:rsidR="00542AA7" w:rsidRPr="00FF6722" w:rsidRDefault="00542AA7" w:rsidP="00542AA7">
            <w:pPr>
              <w:jc w:val="center"/>
              <w:rPr>
                <w:lang w:bidi="x-none"/>
              </w:rPr>
            </w:pPr>
            <w:r w:rsidRPr="00542AA7">
              <w:rPr>
                <w:shd w:val="clear" w:color="auto" w:fill="FFFF99"/>
                <w:lang w:bidi="x-none"/>
              </w:rPr>
              <w:t>71</w:t>
            </w:r>
            <w:r w:rsidRPr="00FF6722">
              <w:rPr>
                <w:lang w:bidi="x-none"/>
              </w:rPr>
              <w:t>.77</w:t>
            </w:r>
          </w:p>
        </w:tc>
        <w:tc>
          <w:tcPr>
            <w:tcW w:w="770" w:type="dxa"/>
            <w:shd w:val="clear" w:color="auto" w:fill="D9D9D9" w:themeFill="background1" w:themeFillShade="D9"/>
            <w:vAlign w:val="bottom"/>
          </w:tcPr>
          <w:p w14:paraId="1ABF1C08" w14:textId="77777777" w:rsidR="00542AA7" w:rsidRPr="00FF6722" w:rsidRDefault="00542AA7" w:rsidP="00542AA7">
            <w:pPr>
              <w:jc w:val="center"/>
              <w:rPr>
                <w:lang w:bidi="x-none"/>
              </w:rPr>
            </w:pPr>
            <w:r>
              <w:rPr>
                <w:lang w:bidi="x-none"/>
              </w:rPr>
              <w:t>0</w:t>
            </w:r>
          </w:p>
        </w:tc>
      </w:tr>
      <w:tr w:rsidR="00542AA7" w:rsidRPr="00FF6722" w14:paraId="7BD94C94" w14:textId="77777777" w:rsidTr="00542AA7">
        <w:trPr>
          <w:trHeight w:val="144"/>
          <w:jc w:val="center"/>
        </w:trPr>
        <w:tc>
          <w:tcPr>
            <w:tcW w:w="770" w:type="dxa"/>
            <w:shd w:val="clear" w:color="auto" w:fill="auto"/>
            <w:vAlign w:val="bottom"/>
          </w:tcPr>
          <w:p w14:paraId="7C91B96C" w14:textId="77777777" w:rsidR="00542AA7" w:rsidRPr="00FF6722" w:rsidRDefault="00542AA7" w:rsidP="00542AA7">
            <w:pPr>
              <w:jc w:val="center"/>
              <w:rPr>
                <w:lang w:bidi="x-none"/>
              </w:rPr>
            </w:pPr>
            <w:r w:rsidRPr="00FF6722">
              <w:rPr>
                <w:lang w:bidi="x-none"/>
              </w:rPr>
              <w:t>85.1</w:t>
            </w:r>
          </w:p>
        </w:tc>
        <w:tc>
          <w:tcPr>
            <w:tcW w:w="770" w:type="dxa"/>
            <w:shd w:val="clear" w:color="auto" w:fill="auto"/>
            <w:vAlign w:val="bottom"/>
          </w:tcPr>
          <w:p w14:paraId="7D836ABA" w14:textId="77777777" w:rsidR="00542AA7" w:rsidRPr="00FF6722" w:rsidRDefault="00542AA7" w:rsidP="00542AA7">
            <w:pPr>
              <w:jc w:val="center"/>
              <w:rPr>
                <w:lang w:bidi="x-none"/>
              </w:rPr>
            </w:pPr>
            <w:r w:rsidRPr="00FF6722">
              <w:rPr>
                <w:lang w:bidi="x-none"/>
              </w:rPr>
              <w:t>78.06</w:t>
            </w:r>
          </w:p>
        </w:tc>
        <w:tc>
          <w:tcPr>
            <w:tcW w:w="770" w:type="dxa"/>
            <w:shd w:val="clear" w:color="auto" w:fill="auto"/>
            <w:vAlign w:val="bottom"/>
          </w:tcPr>
          <w:p w14:paraId="35A26392" w14:textId="77777777" w:rsidR="00542AA7" w:rsidRPr="00FF6722" w:rsidRDefault="00542AA7" w:rsidP="00542AA7">
            <w:pPr>
              <w:jc w:val="center"/>
              <w:rPr>
                <w:lang w:bidi="x-none"/>
              </w:rPr>
            </w:pPr>
            <w:r w:rsidRPr="00FF6722">
              <w:rPr>
                <w:lang w:bidi="x-none"/>
              </w:rPr>
              <w:t>78.06</w:t>
            </w:r>
          </w:p>
        </w:tc>
        <w:tc>
          <w:tcPr>
            <w:tcW w:w="770" w:type="dxa"/>
          </w:tcPr>
          <w:p w14:paraId="31D2B793" w14:textId="77777777" w:rsidR="00542AA7" w:rsidRPr="00FF6722" w:rsidRDefault="00542AA7" w:rsidP="00542AA7">
            <w:pPr>
              <w:jc w:val="center"/>
              <w:rPr>
                <w:lang w:bidi="x-none"/>
              </w:rPr>
            </w:pPr>
            <w:r w:rsidRPr="00FF6722">
              <w:rPr>
                <w:lang w:bidi="x-none"/>
              </w:rPr>
              <w:t>0</w:t>
            </w:r>
          </w:p>
        </w:tc>
      </w:tr>
      <w:tr w:rsidR="00542AA7" w:rsidRPr="00FF6722" w14:paraId="7D479328" w14:textId="77777777" w:rsidTr="00542AA7">
        <w:trPr>
          <w:trHeight w:val="144"/>
          <w:jc w:val="center"/>
        </w:trPr>
        <w:tc>
          <w:tcPr>
            <w:tcW w:w="770" w:type="dxa"/>
            <w:shd w:val="clear" w:color="auto" w:fill="CCFFFF"/>
            <w:vAlign w:val="bottom"/>
          </w:tcPr>
          <w:p w14:paraId="5A5BC339" w14:textId="77777777" w:rsidR="00542AA7" w:rsidRPr="00FF6722" w:rsidRDefault="00542AA7" w:rsidP="00542AA7">
            <w:pPr>
              <w:jc w:val="center"/>
              <w:rPr>
                <w:lang w:bidi="x-none"/>
              </w:rPr>
            </w:pPr>
            <w:r w:rsidRPr="00FF6722">
              <w:rPr>
                <w:lang w:bidi="x-none"/>
              </w:rPr>
              <w:t>89.8</w:t>
            </w:r>
          </w:p>
        </w:tc>
        <w:tc>
          <w:tcPr>
            <w:tcW w:w="770" w:type="dxa"/>
            <w:shd w:val="clear" w:color="auto" w:fill="FF99CC"/>
            <w:vAlign w:val="bottom"/>
          </w:tcPr>
          <w:p w14:paraId="0D5D4C7C" w14:textId="77777777" w:rsidR="00542AA7" w:rsidRPr="00FF6722" w:rsidRDefault="00542AA7" w:rsidP="00542AA7">
            <w:pPr>
              <w:jc w:val="center"/>
              <w:rPr>
                <w:lang w:bidi="x-none"/>
              </w:rPr>
            </w:pPr>
            <w:r w:rsidRPr="00FF6722">
              <w:rPr>
                <w:lang w:bidi="x-none"/>
              </w:rPr>
              <w:t>84.61</w:t>
            </w:r>
          </w:p>
        </w:tc>
        <w:tc>
          <w:tcPr>
            <w:tcW w:w="770" w:type="dxa"/>
            <w:shd w:val="clear" w:color="auto" w:fill="FFFF99"/>
            <w:vAlign w:val="bottom"/>
          </w:tcPr>
          <w:p w14:paraId="4F4BDE4E" w14:textId="77777777" w:rsidR="00542AA7" w:rsidRPr="00FF6722" w:rsidRDefault="00542AA7" w:rsidP="00542AA7">
            <w:pPr>
              <w:jc w:val="center"/>
              <w:rPr>
                <w:lang w:bidi="x-none"/>
              </w:rPr>
            </w:pPr>
            <w:r w:rsidRPr="00542AA7">
              <w:rPr>
                <w:shd w:val="clear" w:color="auto" w:fill="FFFF99"/>
                <w:lang w:bidi="x-none"/>
              </w:rPr>
              <w:t>84.</w:t>
            </w:r>
            <w:r w:rsidRPr="00FF6722">
              <w:rPr>
                <w:lang w:bidi="x-none"/>
              </w:rPr>
              <w:t>61</w:t>
            </w:r>
          </w:p>
        </w:tc>
        <w:tc>
          <w:tcPr>
            <w:tcW w:w="770" w:type="dxa"/>
            <w:shd w:val="clear" w:color="auto" w:fill="D9D9D9" w:themeFill="background1" w:themeFillShade="D9"/>
            <w:vAlign w:val="bottom"/>
          </w:tcPr>
          <w:p w14:paraId="2C9C2516" w14:textId="77777777" w:rsidR="00542AA7" w:rsidRPr="00FF6722" w:rsidRDefault="00542AA7" w:rsidP="00542AA7">
            <w:pPr>
              <w:jc w:val="center"/>
              <w:rPr>
                <w:lang w:bidi="x-none"/>
              </w:rPr>
            </w:pPr>
            <w:r>
              <w:rPr>
                <w:lang w:bidi="x-none"/>
              </w:rPr>
              <w:t>0</w:t>
            </w:r>
          </w:p>
        </w:tc>
      </w:tr>
      <w:tr w:rsidR="00542AA7" w:rsidRPr="00FF6722" w14:paraId="2CE685FC" w14:textId="77777777" w:rsidTr="00542AA7">
        <w:trPr>
          <w:trHeight w:val="144"/>
          <w:jc w:val="center"/>
        </w:trPr>
        <w:tc>
          <w:tcPr>
            <w:tcW w:w="770" w:type="dxa"/>
            <w:shd w:val="clear" w:color="auto" w:fill="auto"/>
            <w:vAlign w:val="bottom"/>
          </w:tcPr>
          <w:p w14:paraId="3DE56163" w14:textId="77777777" w:rsidR="00542AA7" w:rsidRPr="00FF6722" w:rsidRDefault="00542AA7" w:rsidP="00542AA7">
            <w:pPr>
              <w:jc w:val="center"/>
              <w:rPr>
                <w:lang w:bidi="x-none"/>
              </w:rPr>
            </w:pPr>
            <w:r w:rsidRPr="00FF6722">
              <w:rPr>
                <w:lang w:bidi="x-none"/>
              </w:rPr>
              <w:t>94.9</w:t>
            </w:r>
          </w:p>
        </w:tc>
        <w:tc>
          <w:tcPr>
            <w:tcW w:w="770" w:type="dxa"/>
            <w:shd w:val="clear" w:color="auto" w:fill="auto"/>
            <w:vAlign w:val="bottom"/>
          </w:tcPr>
          <w:p w14:paraId="23D5F68C" w14:textId="77777777" w:rsidR="00542AA7" w:rsidRPr="00FF6722" w:rsidRDefault="00542AA7" w:rsidP="00542AA7">
            <w:pPr>
              <w:jc w:val="center"/>
              <w:rPr>
                <w:lang w:bidi="x-none"/>
              </w:rPr>
            </w:pPr>
            <w:r w:rsidRPr="00FF6722">
              <w:rPr>
                <w:lang w:bidi="x-none"/>
              </w:rPr>
              <w:t>92.2</w:t>
            </w:r>
          </w:p>
        </w:tc>
        <w:tc>
          <w:tcPr>
            <w:tcW w:w="770" w:type="dxa"/>
            <w:shd w:val="clear" w:color="auto" w:fill="auto"/>
            <w:vAlign w:val="bottom"/>
          </w:tcPr>
          <w:p w14:paraId="62601BB2" w14:textId="77777777" w:rsidR="00542AA7" w:rsidRPr="00FF6722" w:rsidRDefault="00542AA7" w:rsidP="00542AA7">
            <w:pPr>
              <w:jc w:val="center"/>
              <w:rPr>
                <w:lang w:bidi="x-none"/>
              </w:rPr>
            </w:pPr>
            <w:r w:rsidRPr="00FF6722">
              <w:rPr>
                <w:lang w:bidi="x-none"/>
              </w:rPr>
              <w:t>92.2</w:t>
            </w:r>
          </w:p>
        </w:tc>
        <w:tc>
          <w:tcPr>
            <w:tcW w:w="770" w:type="dxa"/>
          </w:tcPr>
          <w:p w14:paraId="1C135668" w14:textId="77777777" w:rsidR="00542AA7" w:rsidRPr="00FF6722" w:rsidRDefault="00542AA7" w:rsidP="00542AA7">
            <w:pPr>
              <w:jc w:val="center"/>
              <w:rPr>
                <w:lang w:bidi="x-none"/>
              </w:rPr>
            </w:pPr>
            <w:r w:rsidRPr="00FF6722">
              <w:rPr>
                <w:lang w:bidi="x-none"/>
              </w:rPr>
              <w:t>0</w:t>
            </w:r>
          </w:p>
        </w:tc>
      </w:tr>
      <w:tr w:rsidR="00542AA7" w:rsidRPr="00FF6722" w14:paraId="1C2D33B3" w14:textId="77777777" w:rsidTr="00542AA7">
        <w:trPr>
          <w:trHeight w:val="144"/>
          <w:jc w:val="center"/>
        </w:trPr>
        <w:tc>
          <w:tcPr>
            <w:tcW w:w="770" w:type="dxa"/>
            <w:shd w:val="clear" w:color="auto" w:fill="CCFFFF"/>
            <w:vAlign w:val="bottom"/>
          </w:tcPr>
          <w:p w14:paraId="22AEE2D9" w14:textId="77777777" w:rsidR="00542AA7" w:rsidRPr="00FF6722" w:rsidRDefault="00542AA7" w:rsidP="00542AA7">
            <w:pPr>
              <w:jc w:val="center"/>
              <w:rPr>
                <w:lang w:bidi="x-none"/>
              </w:rPr>
            </w:pPr>
            <w:r w:rsidRPr="00FF6722">
              <w:rPr>
                <w:lang w:bidi="x-none"/>
              </w:rPr>
              <w:t>98.04</w:t>
            </w:r>
          </w:p>
        </w:tc>
        <w:tc>
          <w:tcPr>
            <w:tcW w:w="770" w:type="dxa"/>
            <w:shd w:val="clear" w:color="auto" w:fill="FF99CC"/>
            <w:vAlign w:val="bottom"/>
          </w:tcPr>
          <w:p w14:paraId="2A41718E" w14:textId="77777777" w:rsidR="00542AA7" w:rsidRPr="00FF6722" w:rsidRDefault="00542AA7" w:rsidP="00542AA7">
            <w:pPr>
              <w:jc w:val="center"/>
              <w:rPr>
                <w:lang w:bidi="x-none"/>
              </w:rPr>
            </w:pPr>
            <w:r w:rsidRPr="00FF6722">
              <w:rPr>
                <w:lang w:bidi="x-none"/>
              </w:rPr>
              <w:t>96.86</w:t>
            </w:r>
          </w:p>
        </w:tc>
        <w:tc>
          <w:tcPr>
            <w:tcW w:w="770" w:type="dxa"/>
            <w:shd w:val="clear" w:color="auto" w:fill="FFFF99"/>
            <w:vAlign w:val="bottom"/>
          </w:tcPr>
          <w:p w14:paraId="2BAE1C72" w14:textId="77777777" w:rsidR="00542AA7" w:rsidRPr="00FF6722" w:rsidRDefault="00542AA7" w:rsidP="00542AA7">
            <w:pPr>
              <w:jc w:val="center"/>
              <w:rPr>
                <w:lang w:bidi="x-none"/>
              </w:rPr>
            </w:pPr>
            <w:r w:rsidRPr="00542AA7">
              <w:rPr>
                <w:shd w:val="clear" w:color="auto" w:fill="FFFF99"/>
                <w:lang w:bidi="x-none"/>
              </w:rPr>
              <w:t>96.</w:t>
            </w:r>
            <w:r w:rsidRPr="00FF6722">
              <w:rPr>
                <w:lang w:bidi="x-none"/>
              </w:rPr>
              <w:t>86</w:t>
            </w:r>
          </w:p>
        </w:tc>
        <w:tc>
          <w:tcPr>
            <w:tcW w:w="770" w:type="dxa"/>
            <w:shd w:val="clear" w:color="auto" w:fill="D9D9D9" w:themeFill="background1" w:themeFillShade="D9"/>
            <w:vAlign w:val="bottom"/>
          </w:tcPr>
          <w:p w14:paraId="5185FC4F" w14:textId="77777777" w:rsidR="00542AA7" w:rsidRPr="00FF6722" w:rsidRDefault="00542AA7" w:rsidP="00542AA7">
            <w:pPr>
              <w:jc w:val="center"/>
              <w:rPr>
                <w:lang w:bidi="x-none"/>
              </w:rPr>
            </w:pPr>
            <w:r>
              <w:rPr>
                <w:lang w:bidi="x-none"/>
              </w:rPr>
              <w:t>0</w:t>
            </w:r>
          </w:p>
        </w:tc>
      </w:tr>
      <w:tr w:rsidR="00542AA7" w:rsidRPr="00FF6722" w14:paraId="7C5B81CD" w14:textId="77777777" w:rsidTr="00542AA7">
        <w:trPr>
          <w:trHeight w:val="144"/>
          <w:jc w:val="center"/>
        </w:trPr>
        <w:tc>
          <w:tcPr>
            <w:tcW w:w="770" w:type="dxa"/>
            <w:shd w:val="clear" w:color="auto" w:fill="auto"/>
            <w:vAlign w:val="bottom"/>
          </w:tcPr>
          <w:p w14:paraId="0D251B12" w14:textId="77777777" w:rsidR="00542AA7" w:rsidRPr="00FF6722" w:rsidRDefault="00542AA7" w:rsidP="00542AA7">
            <w:pPr>
              <w:jc w:val="center"/>
              <w:rPr>
                <w:lang w:bidi="x-none"/>
              </w:rPr>
            </w:pPr>
            <w:r w:rsidRPr="00FF6722">
              <w:rPr>
                <w:lang w:bidi="x-none"/>
              </w:rPr>
              <w:t>100</w:t>
            </w:r>
          </w:p>
        </w:tc>
        <w:tc>
          <w:tcPr>
            <w:tcW w:w="770" w:type="dxa"/>
            <w:shd w:val="clear" w:color="auto" w:fill="auto"/>
            <w:vAlign w:val="bottom"/>
          </w:tcPr>
          <w:p w14:paraId="638C2820" w14:textId="77777777" w:rsidR="00542AA7" w:rsidRPr="00FF6722" w:rsidRDefault="00542AA7" w:rsidP="00542AA7">
            <w:pPr>
              <w:jc w:val="center"/>
              <w:rPr>
                <w:lang w:bidi="x-none"/>
              </w:rPr>
            </w:pPr>
            <w:r w:rsidRPr="00FF6722">
              <w:rPr>
                <w:lang w:bidi="x-none"/>
              </w:rPr>
              <w:t>100</w:t>
            </w:r>
          </w:p>
        </w:tc>
        <w:tc>
          <w:tcPr>
            <w:tcW w:w="770" w:type="dxa"/>
            <w:shd w:val="clear" w:color="auto" w:fill="auto"/>
            <w:vAlign w:val="bottom"/>
          </w:tcPr>
          <w:p w14:paraId="12EC425F" w14:textId="77777777" w:rsidR="00542AA7" w:rsidRPr="00FF6722" w:rsidRDefault="00542AA7" w:rsidP="00542AA7">
            <w:pPr>
              <w:jc w:val="center"/>
              <w:rPr>
                <w:lang w:bidi="x-none"/>
              </w:rPr>
            </w:pPr>
            <w:r w:rsidRPr="00FF6722">
              <w:rPr>
                <w:lang w:bidi="x-none"/>
              </w:rPr>
              <w:t>100</w:t>
            </w:r>
          </w:p>
        </w:tc>
        <w:tc>
          <w:tcPr>
            <w:tcW w:w="770" w:type="dxa"/>
          </w:tcPr>
          <w:p w14:paraId="0CBAFBD3" w14:textId="77777777" w:rsidR="00542AA7" w:rsidRPr="00FF6722" w:rsidRDefault="00542AA7" w:rsidP="00542AA7">
            <w:pPr>
              <w:jc w:val="center"/>
              <w:rPr>
                <w:lang w:bidi="x-none"/>
              </w:rPr>
            </w:pPr>
            <w:r w:rsidRPr="00FF6722">
              <w:rPr>
                <w:lang w:bidi="x-none"/>
              </w:rPr>
              <w:t>0</w:t>
            </w:r>
          </w:p>
        </w:tc>
      </w:tr>
    </w:tbl>
    <w:p w14:paraId="5D8F7F7F" w14:textId="6F99C490" w:rsidR="00542AA7" w:rsidRPr="00083376" w:rsidRDefault="001E768B" w:rsidP="00542AA7">
      <w:pPr>
        <w:pStyle w:val="Caption"/>
      </w:pPr>
      <w:r>
        <w:t xml:space="preserve"> Table 4</w:t>
      </w:r>
      <w:r w:rsidR="00542AA7" w:rsidRPr="00083376">
        <w:t xml:space="preserve">: </w:t>
      </w:r>
      <w:r>
        <w:t>CMY</w:t>
      </w:r>
      <w:r w:rsidR="00542AA7">
        <w:t>K percentage values in column 5 of the P2P target</w:t>
      </w:r>
    </w:p>
    <w:p w14:paraId="651B05DF" w14:textId="77777777" w:rsidR="00542AA7" w:rsidRPr="005E4F87" w:rsidRDefault="00542AA7" w:rsidP="00542AA7">
      <w:pPr>
        <w:sectPr w:rsidR="00542AA7" w:rsidRPr="005E4F87" w:rsidSect="006C7244">
          <w:pgSz w:w="12240" w:h="15840"/>
          <w:pgMar w:top="1152" w:right="1800" w:bottom="1440" w:left="1800" w:header="720" w:footer="720" w:gutter="0"/>
          <w:cols w:space="720"/>
          <w:docGrid w:linePitch="360"/>
        </w:sectPr>
      </w:pPr>
    </w:p>
    <w:p w14:paraId="727CA927" w14:textId="52CF9583" w:rsidR="00C41490" w:rsidRPr="009845A7" w:rsidRDefault="00C41490" w:rsidP="00C41490">
      <w:pPr>
        <w:pStyle w:val="appendixhead"/>
      </w:pPr>
    </w:p>
    <w:p w14:paraId="7FA6BADF" w14:textId="7B50AB38" w:rsidR="006E25AF" w:rsidRPr="009845A7" w:rsidRDefault="005C78CA" w:rsidP="00EB4171">
      <w:pPr>
        <w:pStyle w:val="appendixhead"/>
      </w:pPr>
      <w:r>
        <w:t>Appendix B</w:t>
      </w:r>
      <w:r w:rsidR="00806B8F">
        <w:t>:</w:t>
      </w:r>
    </w:p>
    <w:p w14:paraId="507309EE" w14:textId="5F615A9C" w:rsidR="00EB4171" w:rsidRDefault="00806B8F" w:rsidP="00467D12">
      <w:pPr>
        <w:pStyle w:val="Heading2"/>
      </w:pPr>
      <w:r>
        <w:t>Formulae</w:t>
      </w:r>
    </w:p>
    <w:p w14:paraId="15A44D05" w14:textId="77777777" w:rsidR="00EB4171" w:rsidRDefault="00EB4171" w:rsidP="00467D12">
      <w:pPr>
        <w:pStyle w:val="Heading4"/>
      </w:pPr>
      <w:r>
        <w:t>Converting ND to L*</w:t>
      </w:r>
    </w:p>
    <w:p w14:paraId="4975301F" w14:textId="08FAFE2B" w:rsidR="00525703" w:rsidRPr="00525703" w:rsidRDefault="00525703" w:rsidP="00E87FE7">
      <w:pPr>
        <w:pStyle w:val="formula"/>
        <w:rPr>
          <w:vertAlign w:val="superscript"/>
        </w:rPr>
      </w:pPr>
      <w:r w:rsidRPr="00525703">
        <w:rPr>
          <w:i/>
        </w:rPr>
        <w:t>Y</w:t>
      </w:r>
      <w:r w:rsidRPr="00525703">
        <w:t xml:space="preserve"> = 1/10</w:t>
      </w:r>
      <w:r w:rsidRPr="00525703">
        <w:rPr>
          <w:vertAlign w:val="superscript"/>
        </w:rPr>
        <w:t>ND</w:t>
      </w:r>
    </w:p>
    <w:p w14:paraId="7F195E77" w14:textId="77777777" w:rsidR="00F83449" w:rsidRPr="00E87FE7" w:rsidRDefault="00F83449" w:rsidP="00E87FE7">
      <w:pPr>
        <w:pStyle w:val="formula"/>
      </w:pPr>
      <w:r w:rsidRPr="00E87FE7">
        <w:t>If: Y &gt; (6/29)3</w:t>
      </w:r>
    </w:p>
    <w:p w14:paraId="0B49E4F5" w14:textId="12407283" w:rsidR="00F83449" w:rsidRPr="00525703" w:rsidRDefault="00F83449" w:rsidP="00E87FE7">
      <w:pPr>
        <w:pStyle w:val="formula"/>
      </w:pPr>
      <w:r w:rsidRPr="00525703">
        <w:tab/>
      </w:r>
      <w:r w:rsidRPr="00525703">
        <w:rPr>
          <w:i/>
        </w:rPr>
        <w:t>L*</w:t>
      </w:r>
      <w:r w:rsidRPr="00525703">
        <w:t xml:space="preserve"> = 116 x </w:t>
      </w:r>
      <w:r w:rsidRPr="00525703">
        <w:rPr>
          <w:i/>
        </w:rPr>
        <w:t>Y</w:t>
      </w:r>
      <w:r w:rsidRPr="00525703">
        <w:rPr>
          <w:vertAlign w:val="superscript"/>
        </w:rPr>
        <w:t xml:space="preserve">1/3 </w:t>
      </w:r>
      <w:r>
        <w:t>–</w:t>
      </w:r>
      <w:r w:rsidRPr="00525703">
        <w:t xml:space="preserve"> 16</w:t>
      </w:r>
    </w:p>
    <w:p w14:paraId="2CE149DF" w14:textId="1ECF29BD" w:rsidR="00F83449" w:rsidRPr="00525703" w:rsidRDefault="00F83449" w:rsidP="00E87FE7">
      <w:pPr>
        <w:pStyle w:val="formula"/>
      </w:pPr>
      <w:r>
        <w:t>Else:</w:t>
      </w:r>
    </w:p>
    <w:p w14:paraId="0C80EED0" w14:textId="1E4A81A8" w:rsidR="00F83449" w:rsidRDefault="00F83449" w:rsidP="00E87FE7">
      <w:pPr>
        <w:pStyle w:val="formula"/>
      </w:pPr>
      <w:r w:rsidRPr="00525703">
        <w:tab/>
      </w:r>
      <w:r w:rsidRPr="00525703">
        <w:rPr>
          <w:i/>
        </w:rPr>
        <w:t>L*</w:t>
      </w:r>
      <w:r w:rsidRPr="00525703">
        <w:t xml:space="preserve"> = 116 x </w:t>
      </w:r>
      <w:r>
        <w:t xml:space="preserve">(841/108 x </w:t>
      </w:r>
      <w:r w:rsidRPr="00F83449">
        <w:rPr>
          <w:i/>
        </w:rPr>
        <w:t>Y</w:t>
      </w:r>
      <w:r>
        <w:t xml:space="preserve"> + 4/29) – 16</w:t>
      </w:r>
    </w:p>
    <w:p w14:paraId="45883FDB" w14:textId="467F6B1E" w:rsidR="00594622" w:rsidRPr="009C3DC0" w:rsidRDefault="00594622" w:rsidP="00467D12">
      <w:pPr>
        <w:pStyle w:val="Heading4"/>
      </w:pPr>
      <w:r>
        <w:t>Calculating Delta L* (∆L*)</w:t>
      </w:r>
    </w:p>
    <w:p w14:paraId="17068C14" w14:textId="104C2A0E" w:rsidR="00594622" w:rsidRPr="00525703" w:rsidRDefault="00594622" w:rsidP="00594622">
      <w:pPr>
        <w:pStyle w:val="formuladon"/>
        <w:rPr>
          <w:rFonts w:asciiTheme="minorHAnsi" w:hAnsiTheme="minorHAnsi"/>
          <w:i w:val="0"/>
        </w:rPr>
      </w:pPr>
      <w:r w:rsidRPr="00525703">
        <w:rPr>
          <w:rFonts w:asciiTheme="minorHAnsi" w:hAnsiTheme="minorHAnsi"/>
          <w:i w:val="0"/>
        </w:rPr>
        <w:t>∆L* = (L*</w:t>
      </w:r>
      <w:r w:rsidRPr="00525703">
        <w:rPr>
          <w:rFonts w:asciiTheme="minorHAnsi" w:hAnsiTheme="minorHAnsi"/>
          <w:i w:val="0"/>
          <w:vertAlign w:val="subscript"/>
        </w:rPr>
        <w:t>sample</w:t>
      </w:r>
      <w:r w:rsidRPr="00525703">
        <w:rPr>
          <w:rFonts w:asciiTheme="minorHAnsi" w:hAnsiTheme="minorHAnsi"/>
          <w:i w:val="0"/>
        </w:rPr>
        <w:t xml:space="preserve"> – L*</w:t>
      </w:r>
      <w:r w:rsidRPr="00525703">
        <w:rPr>
          <w:rFonts w:asciiTheme="minorHAnsi" w:hAnsiTheme="minorHAnsi"/>
          <w:i w:val="0"/>
          <w:vertAlign w:val="subscript"/>
        </w:rPr>
        <w:t>target</w:t>
      </w:r>
      <w:r>
        <w:rPr>
          <w:rFonts w:asciiTheme="minorHAnsi" w:hAnsiTheme="minorHAnsi"/>
          <w:i w:val="0"/>
        </w:rPr>
        <w:t>)</w:t>
      </w:r>
    </w:p>
    <w:p w14:paraId="3E70AE8E" w14:textId="77777777" w:rsidR="00525703" w:rsidRPr="00337A82" w:rsidRDefault="00525703" w:rsidP="00525703">
      <w:pPr>
        <w:pStyle w:val="Indentnumberlist"/>
      </w:pPr>
    </w:p>
    <w:p w14:paraId="45FB7387" w14:textId="7960F2FF" w:rsidR="00594622" w:rsidRPr="00464B4E" w:rsidRDefault="00594622" w:rsidP="00467D12">
      <w:pPr>
        <w:pStyle w:val="Heading4"/>
      </w:pPr>
      <w:r>
        <w:t>Calculating Delta F* (∆F*) – also known as Delta-ab</w:t>
      </w:r>
    </w:p>
    <w:p w14:paraId="5A8BEB2B" w14:textId="77777777" w:rsidR="00594622" w:rsidRPr="00525703" w:rsidRDefault="00594622" w:rsidP="00594622">
      <w:pPr>
        <w:pStyle w:val="formuladon"/>
        <w:rPr>
          <w:rFonts w:asciiTheme="minorHAnsi" w:hAnsiTheme="minorHAnsi"/>
          <w:i w:val="0"/>
        </w:rPr>
      </w:pPr>
      <w:r w:rsidRPr="00525703">
        <w:rPr>
          <w:rFonts w:asciiTheme="minorHAnsi" w:hAnsiTheme="minorHAnsi"/>
          <w:i w:val="0"/>
        </w:rPr>
        <w:t>∆F* = ((a*</w:t>
      </w:r>
      <w:r w:rsidRPr="00525703">
        <w:rPr>
          <w:rFonts w:asciiTheme="minorHAnsi" w:hAnsiTheme="minorHAnsi"/>
          <w:i w:val="0"/>
          <w:vertAlign w:val="subscript"/>
        </w:rPr>
        <w:t>sample</w:t>
      </w:r>
      <w:r w:rsidRPr="00525703">
        <w:rPr>
          <w:rFonts w:asciiTheme="minorHAnsi" w:hAnsiTheme="minorHAnsi"/>
          <w:i w:val="0"/>
        </w:rPr>
        <w:t xml:space="preserve"> – a*</w:t>
      </w:r>
      <w:r w:rsidRPr="00525703">
        <w:rPr>
          <w:rFonts w:asciiTheme="minorHAnsi" w:hAnsiTheme="minorHAnsi"/>
          <w:i w:val="0"/>
          <w:vertAlign w:val="subscript"/>
        </w:rPr>
        <w:t>target</w:t>
      </w:r>
      <w:r w:rsidRPr="00525703">
        <w:rPr>
          <w:rFonts w:asciiTheme="minorHAnsi" w:hAnsiTheme="minorHAnsi"/>
          <w:i w:val="0"/>
        </w:rPr>
        <w:t>)</w:t>
      </w:r>
      <w:r w:rsidRPr="00525703">
        <w:rPr>
          <w:rFonts w:asciiTheme="minorHAnsi" w:hAnsiTheme="minorHAnsi"/>
          <w:i w:val="0"/>
          <w:vertAlign w:val="superscript"/>
        </w:rPr>
        <w:t>2</w:t>
      </w:r>
      <w:r w:rsidRPr="00525703">
        <w:rPr>
          <w:rFonts w:asciiTheme="minorHAnsi" w:hAnsiTheme="minorHAnsi"/>
          <w:i w:val="0"/>
          <w:vertAlign w:val="subscript"/>
        </w:rPr>
        <w:t xml:space="preserve">  </w:t>
      </w:r>
      <w:r w:rsidRPr="00525703">
        <w:rPr>
          <w:rFonts w:asciiTheme="minorHAnsi" w:hAnsiTheme="minorHAnsi"/>
          <w:i w:val="0"/>
        </w:rPr>
        <w:t>+</w:t>
      </w:r>
      <w:r w:rsidRPr="00525703">
        <w:rPr>
          <w:rFonts w:asciiTheme="minorHAnsi" w:hAnsiTheme="minorHAnsi"/>
          <w:i w:val="0"/>
          <w:vertAlign w:val="subscript"/>
        </w:rPr>
        <w:t xml:space="preserve"> </w:t>
      </w:r>
      <w:r w:rsidRPr="00525703">
        <w:rPr>
          <w:rFonts w:asciiTheme="minorHAnsi" w:hAnsiTheme="minorHAnsi"/>
          <w:i w:val="0"/>
        </w:rPr>
        <w:t>(b*</w:t>
      </w:r>
      <w:r w:rsidRPr="00525703">
        <w:rPr>
          <w:rFonts w:asciiTheme="minorHAnsi" w:hAnsiTheme="minorHAnsi"/>
          <w:i w:val="0"/>
          <w:vertAlign w:val="subscript"/>
        </w:rPr>
        <w:t>sample</w:t>
      </w:r>
      <w:r w:rsidRPr="00525703">
        <w:rPr>
          <w:rFonts w:asciiTheme="minorHAnsi" w:hAnsiTheme="minorHAnsi"/>
          <w:i w:val="0"/>
        </w:rPr>
        <w:t xml:space="preserve"> – b*</w:t>
      </w:r>
      <w:r w:rsidRPr="00525703">
        <w:rPr>
          <w:rFonts w:asciiTheme="minorHAnsi" w:hAnsiTheme="minorHAnsi"/>
          <w:i w:val="0"/>
          <w:vertAlign w:val="subscript"/>
        </w:rPr>
        <w:t>target</w:t>
      </w:r>
      <w:r w:rsidRPr="00525703">
        <w:rPr>
          <w:rFonts w:asciiTheme="minorHAnsi" w:hAnsiTheme="minorHAnsi"/>
          <w:i w:val="0"/>
        </w:rPr>
        <w:t>)</w:t>
      </w:r>
      <w:r w:rsidRPr="00525703">
        <w:rPr>
          <w:rFonts w:asciiTheme="minorHAnsi" w:hAnsiTheme="minorHAnsi"/>
          <w:i w:val="0"/>
          <w:vertAlign w:val="superscript"/>
        </w:rPr>
        <w:t>2</w:t>
      </w:r>
      <w:r w:rsidRPr="00525703">
        <w:rPr>
          <w:rFonts w:asciiTheme="minorHAnsi" w:hAnsiTheme="minorHAnsi"/>
          <w:i w:val="0"/>
        </w:rPr>
        <w:t>)</w:t>
      </w:r>
      <w:r w:rsidRPr="00525703">
        <w:rPr>
          <w:rFonts w:asciiTheme="minorHAnsi" w:hAnsiTheme="minorHAnsi"/>
          <w:i w:val="0"/>
          <w:vertAlign w:val="subscript"/>
        </w:rPr>
        <w:t xml:space="preserve"> </w:t>
      </w:r>
      <w:r w:rsidRPr="00525703">
        <w:rPr>
          <w:rFonts w:asciiTheme="minorHAnsi" w:hAnsiTheme="minorHAnsi"/>
          <w:i w:val="0"/>
          <w:vertAlign w:val="superscript"/>
        </w:rPr>
        <w:t>1/2</w:t>
      </w:r>
    </w:p>
    <w:p w14:paraId="63C1C155" w14:textId="77777777" w:rsidR="00594622" w:rsidRDefault="00594622" w:rsidP="00594622">
      <w:pPr>
        <w:pStyle w:val="formuladon"/>
        <w:rPr>
          <w:rFonts w:asciiTheme="minorHAnsi" w:hAnsiTheme="minorHAnsi"/>
          <w:i w:val="0"/>
        </w:rPr>
      </w:pPr>
    </w:p>
    <w:p w14:paraId="0F1640D4" w14:textId="77777777" w:rsidR="00594622" w:rsidRDefault="00594622" w:rsidP="00594622">
      <w:pPr>
        <w:rPr>
          <w:rFonts w:asciiTheme="minorHAnsi" w:hAnsiTheme="minorHAnsi"/>
          <w:i/>
        </w:rPr>
        <w:sectPr w:rsidR="00594622" w:rsidSect="006C7244">
          <w:pgSz w:w="12240" w:h="15840"/>
          <w:pgMar w:top="1152" w:right="1800" w:bottom="1440" w:left="1800" w:header="720" w:footer="720" w:gutter="0"/>
          <w:cols w:space="720"/>
          <w:docGrid w:linePitch="360"/>
        </w:sectPr>
      </w:pPr>
    </w:p>
    <w:p w14:paraId="4BD59AC4" w14:textId="2502C639" w:rsidR="00CB66F3" w:rsidRPr="009845A7" w:rsidRDefault="00CB66F3" w:rsidP="00CB66F3">
      <w:pPr>
        <w:pStyle w:val="appendixhead"/>
      </w:pPr>
      <w:r>
        <w:lastRenderedPageBreak/>
        <w:t>Appe</w:t>
      </w:r>
      <w:r w:rsidR="00C41490">
        <w:t>ndix C</w:t>
      </w:r>
      <w:r>
        <w:t>:</w:t>
      </w:r>
    </w:p>
    <w:p w14:paraId="6A9D5B4E" w14:textId="77777777" w:rsidR="00CB66F3" w:rsidRDefault="00CB66F3" w:rsidP="00467D12">
      <w:pPr>
        <w:pStyle w:val="Heading2"/>
      </w:pPr>
      <w:r>
        <w:t>Verification Instructions (using VPR module)</w:t>
      </w:r>
    </w:p>
    <w:p w14:paraId="31C49EF2" w14:textId="38A4FE73" w:rsidR="00CB66F3" w:rsidRDefault="00CB66F3" w:rsidP="00CB66F3">
      <w:pPr>
        <w:pStyle w:val="Copyindent"/>
      </w:pPr>
      <w:r>
        <w:t xml:space="preserve">The optional VPR module allows </w:t>
      </w:r>
      <w:r w:rsidR="00E87239">
        <w:t>adjustments</w:t>
      </w:r>
      <w:r>
        <w:t xml:space="preserve"> calculated </w:t>
      </w:r>
      <w:r w:rsidR="00E87239">
        <w:t xml:space="preserve">by </w:t>
      </w:r>
      <w:r w:rsidR="009F64BE">
        <w:t>“Product Name”</w:t>
      </w:r>
      <w:r>
        <w:t xml:space="preserve"> to be tested without making a second physical print.  For this </w:t>
      </w:r>
      <w:r w:rsidR="00E87239">
        <w:t>a</w:t>
      </w:r>
      <w:r>
        <w:t xml:space="preserve"> characterization target (e.g. IT8.7/4) </w:t>
      </w:r>
      <w:r w:rsidR="00E87239">
        <w:t xml:space="preserve">must have been </w:t>
      </w:r>
      <w:r>
        <w:t xml:space="preserve">printed </w:t>
      </w:r>
      <w:r w:rsidR="00E87239">
        <w:t xml:space="preserve">and measured </w:t>
      </w:r>
      <w:r>
        <w:t>at the same time as the P2P</w:t>
      </w:r>
      <w:r w:rsidR="00E87239">
        <w:t>, ideally on the same sheet of material</w:t>
      </w:r>
      <w:r>
        <w:t>.</w:t>
      </w:r>
    </w:p>
    <w:p w14:paraId="5F127B0F" w14:textId="77777777" w:rsidR="00CB66F3" w:rsidRPr="00E87239" w:rsidRDefault="00CB66F3" w:rsidP="00E87239">
      <w:pPr>
        <w:pStyle w:val="alert"/>
      </w:pPr>
      <w:r w:rsidRPr="00E87239">
        <w:t>NOTE:  Results determined by the VPR process may differ slightly from results obtained by physical print testing, due to printing and measuring variations between the first and second prints, or variations between the characterization target and the P2P target.</w:t>
      </w:r>
    </w:p>
    <w:p w14:paraId="6307E3C9" w14:textId="3361E627" w:rsidR="00CB66F3" w:rsidRPr="00806396" w:rsidRDefault="00CB66F3" w:rsidP="00CB66F3">
      <w:pPr>
        <w:pStyle w:val="Indentnumberlist"/>
      </w:pPr>
      <w:r w:rsidRPr="00806396">
        <w:t>1.</w:t>
      </w:r>
      <w:r w:rsidRPr="00806396">
        <w:tab/>
      </w:r>
      <w:r>
        <w:t xml:space="preserve">In the same </w:t>
      </w:r>
      <w:r w:rsidR="009F64BE">
        <w:t>“Product Name”</w:t>
      </w:r>
      <w:r>
        <w:t xml:space="preserve"> session used to create the curves being verified, c</w:t>
      </w:r>
      <w:r w:rsidRPr="00806396">
        <w:t xml:space="preserve">lick </w:t>
      </w:r>
      <w:r w:rsidRPr="000C39FE">
        <w:rPr>
          <w:b/>
          <w:i/>
        </w:rPr>
        <w:t>Virtual Print Run</w:t>
      </w:r>
      <w:r w:rsidRPr="00806396">
        <w:t xml:space="preserve"> to launch the VPR module.</w:t>
      </w:r>
    </w:p>
    <w:p w14:paraId="40BA8118" w14:textId="77777777" w:rsidR="00CB66F3" w:rsidRDefault="00CB66F3" w:rsidP="00CB66F3">
      <w:pPr>
        <w:pStyle w:val="Indentnumberlist"/>
      </w:pPr>
      <w:r>
        <w:t>2.</w:t>
      </w:r>
      <w:r>
        <w:tab/>
        <w:t xml:space="preserve">In the </w:t>
      </w:r>
      <w:r w:rsidRPr="000C39FE">
        <w:rPr>
          <w:b/>
          <w:i/>
        </w:rPr>
        <w:t>Run (curves to be applied)</w:t>
      </w:r>
      <w:r>
        <w:t xml:space="preserve"> tab select the calibration run used to create the calibration curves.  </w:t>
      </w:r>
      <w:r w:rsidRPr="00F0771C">
        <w:t>(</w:t>
      </w:r>
      <w:r w:rsidRPr="00EE4FF9">
        <w:t xml:space="preserve">Note that all variables in the </w:t>
      </w:r>
      <w:r w:rsidRPr="000C39FE">
        <w:rPr>
          <w:b/>
          <w:i/>
        </w:rPr>
        <w:t>Create Curves</w:t>
      </w:r>
      <w:r w:rsidRPr="00EE4FF9">
        <w:t xml:space="preserve"> window - such as number of control points, </w:t>
      </w:r>
      <w:r w:rsidRPr="000C39FE">
        <w:rPr>
          <w:b/>
          <w:i/>
        </w:rPr>
        <w:t>Gray Balance Options</w:t>
      </w:r>
      <w:r w:rsidRPr="00EE4FF9">
        <w:t>, etc., must not have changed.</w:t>
      </w:r>
      <w:r>
        <w:t>)</w:t>
      </w:r>
    </w:p>
    <w:p w14:paraId="4DF73ED9" w14:textId="77777777" w:rsidR="00CB66F3" w:rsidRPr="00EE4FF9" w:rsidRDefault="00CB66F3" w:rsidP="00CB66F3">
      <w:pPr>
        <w:pStyle w:val="Indentnumberlist"/>
      </w:pPr>
      <w:r>
        <w:t>3.</w:t>
      </w:r>
      <w:r>
        <w:tab/>
        <w:t xml:space="preserve">In the </w:t>
      </w:r>
      <w:r w:rsidRPr="000C39FE">
        <w:rPr>
          <w:b/>
          <w:i/>
        </w:rPr>
        <w:t>Target data to be curved:</w:t>
      </w:r>
      <w:r>
        <w:t xml:space="preserve"> list, select the same P2P target data file used to create the curves.</w:t>
      </w:r>
    </w:p>
    <w:p w14:paraId="2132EF77" w14:textId="77777777" w:rsidR="00CB66F3" w:rsidRDefault="00CB66F3" w:rsidP="00CB66F3">
      <w:pPr>
        <w:pStyle w:val="Indentnumberlist"/>
        <w:rPr>
          <w:i/>
        </w:rPr>
      </w:pPr>
      <w:r>
        <w:t>4.</w:t>
      </w:r>
      <w:r>
        <w:tab/>
        <w:t xml:space="preserve">In the </w:t>
      </w:r>
      <w:r w:rsidRPr="000C39FE">
        <w:rPr>
          <w:b/>
          <w:i/>
        </w:rPr>
        <w:t>Training Target (Optional):</w:t>
      </w:r>
      <w:r w:rsidRPr="000C39FE">
        <w:rPr>
          <w:i/>
        </w:rPr>
        <w:t xml:space="preserve"> </w:t>
      </w:r>
      <w:r>
        <w:t xml:space="preserve">list, select the measurement file from the characterization target (e.g. IT8.7/4) printed at the same time as the P2P target.  </w:t>
      </w:r>
      <w:r>
        <w:rPr>
          <w:i/>
        </w:rPr>
        <w:t>(W</w:t>
      </w:r>
      <w:r w:rsidRPr="00F0771C">
        <w:rPr>
          <w:i/>
        </w:rPr>
        <w:t xml:space="preserve">hen applying VPR to a P2P target, the training </w:t>
      </w:r>
      <w:r>
        <w:rPr>
          <w:i/>
        </w:rPr>
        <w:t>target</w:t>
      </w:r>
      <w:r w:rsidRPr="00F0771C">
        <w:rPr>
          <w:i/>
        </w:rPr>
        <w:t xml:space="preserve"> is NOT OPTIONAL).</w:t>
      </w:r>
    </w:p>
    <w:p w14:paraId="3A195989" w14:textId="77777777" w:rsidR="00CB66F3" w:rsidRPr="0086536B" w:rsidRDefault="00CB66F3" w:rsidP="00CB66F3">
      <w:pPr>
        <w:pStyle w:val="Indentnumberlist"/>
      </w:pPr>
      <w:r>
        <w:t>5.</w:t>
      </w:r>
      <w:r>
        <w:tab/>
        <w:t xml:space="preserve">In the </w:t>
      </w:r>
      <w:r w:rsidRPr="000C39FE">
        <w:rPr>
          <w:b/>
          <w:i/>
        </w:rPr>
        <w:t>Curving Method</w:t>
      </w:r>
      <w:r>
        <w:t xml:space="preserve"> area, select </w:t>
      </w:r>
      <w:r w:rsidRPr="000C39FE">
        <w:rPr>
          <w:b/>
          <w:i/>
        </w:rPr>
        <w:t>Curve Lab values (retains CMYK values and target type)</w:t>
      </w:r>
      <w:r w:rsidRPr="0086536B">
        <w:t>.</w:t>
      </w:r>
    </w:p>
    <w:p w14:paraId="798CA42C" w14:textId="77777777" w:rsidR="00CB66F3" w:rsidRDefault="00CB66F3" w:rsidP="00CB66F3">
      <w:pPr>
        <w:pStyle w:val="Indentnumberlist"/>
      </w:pPr>
      <w:r>
        <w:t>6.</w:t>
      </w:r>
      <w:r>
        <w:tab/>
        <w:t xml:space="preserve">Set the </w:t>
      </w:r>
      <w:r w:rsidRPr="000C39FE">
        <w:rPr>
          <w:b/>
          <w:i/>
        </w:rPr>
        <w:t>Precise / Smooth</w:t>
      </w:r>
      <w:r>
        <w:t xml:space="preserve"> slider to </w:t>
      </w:r>
      <w:r w:rsidRPr="000C39FE">
        <w:rPr>
          <w:b/>
          <w:i/>
        </w:rPr>
        <w:t>Precise</w:t>
      </w:r>
      <w:r>
        <w:t>.</w:t>
      </w:r>
    </w:p>
    <w:p w14:paraId="23833029" w14:textId="037C0F1F" w:rsidR="00CB66F3" w:rsidRDefault="00CB66F3" w:rsidP="00CB66F3">
      <w:pPr>
        <w:pStyle w:val="Indentnumberlist"/>
      </w:pPr>
      <w:r>
        <w:t>7.</w:t>
      </w:r>
      <w:r>
        <w:tab/>
        <w:t xml:space="preserve">Click </w:t>
      </w:r>
      <w:r w:rsidRPr="000C39FE">
        <w:rPr>
          <w:b/>
          <w:i/>
        </w:rPr>
        <w:t>Curve &amp; Export…</w:t>
      </w:r>
      <w:r>
        <w:t xml:space="preserve"> </w:t>
      </w:r>
      <w:r w:rsidR="000C39FE">
        <w:t>and</w:t>
      </w:r>
      <w:r>
        <w:t xml:space="preserve"> save the VPR-adjusted P2P data.</w:t>
      </w:r>
    </w:p>
    <w:p w14:paraId="4CDEC0F4" w14:textId="07A73229" w:rsidR="000C39FE" w:rsidRPr="00BF6D45" w:rsidRDefault="000C39FE" w:rsidP="000C39FE">
      <w:pPr>
        <w:pStyle w:val="Indentnumberlist"/>
      </w:pPr>
      <w:r>
        <w:t>8</w:t>
      </w:r>
      <w:r w:rsidRPr="00BF6D45">
        <w:t>.</w:t>
      </w:r>
      <w:r w:rsidRPr="00BF6D45">
        <w:tab/>
      </w:r>
      <w:r>
        <w:t>Click</w:t>
      </w:r>
      <w:r w:rsidRPr="00BF6D45">
        <w:t xml:space="preserve"> the </w:t>
      </w:r>
      <w:r w:rsidRPr="004B22EB">
        <w:rPr>
          <w:b/>
          <w:i/>
        </w:rPr>
        <w:t>+</w:t>
      </w:r>
      <w:r>
        <w:t xml:space="preserve"> (</w:t>
      </w:r>
      <w:r w:rsidRPr="00E41377">
        <w:t>Plus</w:t>
      </w:r>
      <w:r>
        <w:t xml:space="preserve"> symbol)</w:t>
      </w:r>
      <w:r w:rsidRPr="00BF6D45">
        <w:t xml:space="preserve"> at the bottom of the </w:t>
      </w:r>
      <w:r w:rsidRPr="004B22EB">
        <w:rPr>
          <w:b/>
          <w:i/>
        </w:rPr>
        <w:t>Calibration Runs</w:t>
      </w:r>
      <w:r w:rsidRPr="00BF6D45">
        <w:t xml:space="preserve"> list to create a new run</w:t>
      </w:r>
      <w:r>
        <w:t xml:space="preserve"> (called by default</w:t>
      </w:r>
      <w:r w:rsidRPr="00BF6D45">
        <w:t xml:space="preserve"> </w:t>
      </w:r>
      <w:r w:rsidRPr="004B22EB">
        <w:rPr>
          <w:b/>
          <w:i/>
        </w:rPr>
        <w:t xml:space="preserve">Run 2 </w:t>
      </w:r>
      <w:r>
        <w:rPr>
          <w:b/>
          <w:i/>
        </w:rPr>
        <w:t>–</w:t>
      </w:r>
      <w:r w:rsidRPr="004B22EB">
        <w:rPr>
          <w:b/>
          <w:i/>
        </w:rPr>
        <w:t xml:space="preserve"> Verification</w:t>
      </w:r>
      <w:r>
        <w:t>).</w:t>
      </w:r>
    </w:p>
    <w:p w14:paraId="189D3785" w14:textId="3ACE5461" w:rsidR="000C39FE" w:rsidRDefault="000C39FE" w:rsidP="000C39FE">
      <w:pPr>
        <w:pStyle w:val="Indentnumberlist"/>
      </w:pPr>
      <w:r>
        <w:t>9.</w:t>
      </w:r>
      <w:r>
        <w:tab/>
        <w:t>Either dr</w:t>
      </w:r>
      <w:r w:rsidRPr="00E41377">
        <w:t xml:space="preserve">ag </w:t>
      </w:r>
      <w:r>
        <w:t>the VPR-adjusted P2P data</w:t>
      </w:r>
      <w:r w:rsidRPr="00E41377">
        <w:t xml:space="preserve"> into the </w:t>
      </w:r>
      <w:r w:rsidRPr="004B22EB">
        <w:rPr>
          <w:b/>
          <w:i/>
        </w:rPr>
        <w:t>Measurements</w:t>
      </w:r>
      <w:r w:rsidRPr="00E41377">
        <w:t xml:space="preserve"> list, or click on the </w:t>
      </w:r>
      <w:r w:rsidRPr="004B22EB">
        <w:rPr>
          <w:b/>
          <w:i/>
        </w:rPr>
        <w:t>+</w:t>
      </w:r>
      <w:r>
        <w:t xml:space="preserve"> (</w:t>
      </w:r>
      <w:r w:rsidRPr="00E41377">
        <w:t>Plus</w:t>
      </w:r>
      <w:r>
        <w:t xml:space="preserve"> symbol)</w:t>
      </w:r>
      <w:r w:rsidRPr="00BF6D45">
        <w:t xml:space="preserve"> </w:t>
      </w:r>
      <w:r>
        <w:t>b</w:t>
      </w:r>
      <w:r w:rsidRPr="00E41377">
        <w:t>elow t</w:t>
      </w:r>
      <w:r>
        <w:t>he list and browse for the file</w:t>
      </w:r>
      <w:r w:rsidRPr="00E41377">
        <w:t>.</w:t>
      </w:r>
    </w:p>
    <w:p w14:paraId="6267ABDA" w14:textId="6E493A9D" w:rsidR="000C39FE" w:rsidRDefault="000C39FE" w:rsidP="000C39FE">
      <w:pPr>
        <w:pStyle w:val="Indentnumberlist"/>
      </w:pPr>
      <w:r>
        <w:t>10.</w:t>
      </w:r>
      <w:r>
        <w:tab/>
        <w:t xml:space="preserve">Select the </w:t>
      </w:r>
      <w:r w:rsidRPr="004B22EB">
        <w:rPr>
          <w:b/>
          <w:i/>
        </w:rPr>
        <w:t>Analyze</w:t>
      </w:r>
      <w:r>
        <w:t xml:space="preserve"> tab and then select the </w:t>
      </w:r>
      <w:r w:rsidRPr="004B22EB">
        <w:rPr>
          <w:b/>
          <w:i/>
        </w:rPr>
        <w:t>G7</w:t>
      </w:r>
      <w:r>
        <w:t xml:space="preserve"> sub-tab.</w:t>
      </w:r>
    </w:p>
    <w:p w14:paraId="3E38AF6D" w14:textId="7B5A38E3" w:rsidR="000C39FE" w:rsidRDefault="000C39FE" w:rsidP="000C39FE">
      <w:pPr>
        <w:pStyle w:val="Indentnumberlist"/>
      </w:pPr>
      <w:r>
        <w:t>11.</w:t>
      </w:r>
      <w:r>
        <w:tab/>
        <w:t xml:space="preserve">In the </w:t>
      </w:r>
      <w:r w:rsidRPr="004B22EB">
        <w:rPr>
          <w:b/>
          <w:i/>
        </w:rPr>
        <w:t>Analyze – G7</w:t>
      </w:r>
      <w:r>
        <w:t xml:space="preserve"> window the </w:t>
      </w:r>
      <w:r w:rsidRPr="004B22EB">
        <w:rPr>
          <w:b/>
          <w:i/>
        </w:rPr>
        <w:t>Results</w:t>
      </w:r>
      <w:r>
        <w:t xml:space="preserve"> table shows the average and maximum Delta L* (∆L*) values for the K-only and CMY gray scales (P2P columns 4 and 5).  Also shown are the Delta F* (∆F*) (also known as Delta-ab (∆ab)) for the CMY gray scale (P2P column 5).  These values can be compared to the ∆L* and ∆F* tolerances shown in the chart </w:t>
      </w:r>
      <w:r w:rsidR="00872F7F">
        <w:t xml:space="preserve">in </w:t>
      </w:r>
      <w:r w:rsidR="00872F7F" w:rsidRPr="00872F7F">
        <w:rPr>
          <w:b/>
          <w:i/>
        </w:rPr>
        <w:t>Analyzing Results</w:t>
      </w:r>
      <w:r>
        <w:t>.</w:t>
      </w:r>
    </w:p>
    <w:sectPr w:rsidR="000C39FE" w:rsidSect="006C7244">
      <w:pgSz w:w="12240" w:h="15840"/>
      <w:pgMar w:top="1152"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810BF" w14:textId="77777777" w:rsidR="009F3B90" w:rsidRDefault="009F3B90">
      <w:r>
        <w:separator/>
      </w:r>
    </w:p>
  </w:endnote>
  <w:endnote w:type="continuationSeparator" w:id="0">
    <w:p w14:paraId="330BFA4B" w14:textId="77777777" w:rsidR="009F3B90" w:rsidRDefault="009F3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radeGothicBoldCondTwenty">
    <w:altName w:val="Times New Roman"/>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59C4" w14:textId="77777777" w:rsidR="00467D12" w:rsidRDefault="00467D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D29502" w14:textId="77777777" w:rsidR="00467D12" w:rsidRDefault="00467D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AA6B" w14:textId="77777777" w:rsidR="00467D12" w:rsidRDefault="00467D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225B5">
      <w:rPr>
        <w:rStyle w:val="PageNumber"/>
        <w:noProof/>
      </w:rPr>
      <w:t>1</w:t>
    </w:r>
    <w:r>
      <w:rPr>
        <w:rStyle w:val="PageNumber"/>
      </w:rPr>
      <w:fldChar w:fldCharType="end"/>
    </w:r>
  </w:p>
  <w:p w14:paraId="5D0F9C8B" w14:textId="1D6E2ACC" w:rsidR="00467D12" w:rsidRDefault="006E23FB">
    <w:pPr>
      <w:pStyle w:val="Footer"/>
      <w:ind w:right="360"/>
    </w:pPr>
    <w:r>
      <w:t>Copyright © Idealliance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44FA0" w14:textId="77777777" w:rsidR="009F3B90" w:rsidRDefault="009F3B90">
      <w:proofErr w:type="spellStart"/>
      <w:r>
        <w:t>YoCompany</w:t>
      </w:r>
      <w:proofErr w:type="spellEnd"/>
      <w:r>
        <w:separator/>
      </w:r>
    </w:p>
  </w:footnote>
  <w:footnote w:type="continuationSeparator" w:id="0">
    <w:p w14:paraId="5EE90706" w14:textId="77777777" w:rsidR="009F3B90" w:rsidRDefault="009F3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9124E" w14:textId="1E14A38C" w:rsidR="00467D12" w:rsidRDefault="00467D12" w:rsidP="006E25AF">
    <w:pPr>
      <w:pStyle w:val="NoSpacing"/>
      <w:spacing w:after="360"/>
    </w:pPr>
    <w:r>
      <w:rPr>
        <w:b/>
        <w:color w:val="1F497D"/>
        <w:sz w:val="40"/>
      </w:rPr>
      <w:t xml:space="preserve">  </w:t>
    </w:r>
    <w:r w:rsidR="009F64BE">
      <w:rPr>
        <w:b/>
        <w:noProof/>
        <w:color w:val="1F497D"/>
        <w:sz w:val="40"/>
      </w:rPr>
      <w:t>Company Name/Logo</w:t>
    </w:r>
    <w:r>
      <w:rPr>
        <w:b/>
        <w:color w:val="1F497D"/>
        <w:sz w:val="4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6898"/>
    <w:multiLevelType w:val="hybridMultilevel"/>
    <w:tmpl w:val="3B686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34634"/>
    <w:multiLevelType w:val="hybridMultilevel"/>
    <w:tmpl w:val="26283F38"/>
    <w:lvl w:ilvl="0" w:tplc="9C86E8B8">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15:restartNumberingAfterBreak="0">
    <w:nsid w:val="0B700304"/>
    <w:multiLevelType w:val="hybridMultilevel"/>
    <w:tmpl w:val="D1845940"/>
    <w:lvl w:ilvl="0" w:tplc="607C7712">
      <w:start w:val="1"/>
      <w:numFmt w:val="bullet"/>
      <w:lvlText w:val=""/>
      <w:lvlJc w:val="left"/>
      <w:pPr>
        <w:tabs>
          <w:tab w:val="num" w:pos="720"/>
        </w:tabs>
        <w:ind w:left="720" w:hanging="360"/>
      </w:pPr>
      <w:rPr>
        <w:rFonts w:ascii="Symbol" w:hAnsi="Symbol"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0D7205C5"/>
    <w:multiLevelType w:val="hybridMultilevel"/>
    <w:tmpl w:val="257EA0A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15:restartNumberingAfterBreak="0">
    <w:nsid w:val="0FD931C8"/>
    <w:multiLevelType w:val="hybridMultilevel"/>
    <w:tmpl w:val="883CE27E"/>
    <w:lvl w:ilvl="0" w:tplc="2CE009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B71632"/>
    <w:multiLevelType w:val="hybridMultilevel"/>
    <w:tmpl w:val="3B686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A7175C"/>
    <w:multiLevelType w:val="hybridMultilevel"/>
    <w:tmpl w:val="BB0E78B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CE44332"/>
    <w:multiLevelType w:val="multilevel"/>
    <w:tmpl w:val="179C12D0"/>
    <w:lvl w:ilvl="0">
      <w:start w:val="1"/>
      <w:numFmt w:val="decimal"/>
      <w:pStyle w:val="Bullet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29B0064"/>
    <w:multiLevelType w:val="hybridMultilevel"/>
    <w:tmpl w:val="29A4EEEA"/>
    <w:lvl w:ilvl="0" w:tplc="3B70A84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890" w:hanging="36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E0F2C"/>
    <w:multiLevelType w:val="hybridMultilevel"/>
    <w:tmpl w:val="57BC60A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810C04"/>
    <w:multiLevelType w:val="hybridMultilevel"/>
    <w:tmpl w:val="003C4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9833D0"/>
    <w:multiLevelType w:val="hybridMultilevel"/>
    <w:tmpl w:val="403A43E8"/>
    <w:lvl w:ilvl="0" w:tplc="AEF6C9B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667288506">
    <w:abstractNumId w:val="6"/>
  </w:num>
  <w:num w:numId="2" w16cid:durableId="1559972604">
    <w:abstractNumId w:val="9"/>
  </w:num>
  <w:num w:numId="3" w16cid:durableId="639506562">
    <w:abstractNumId w:val="1"/>
  </w:num>
  <w:num w:numId="4" w16cid:durableId="266012269">
    <w:abstractNumId w:val="10"/>
  </w:num>
  <w:num w:numId="5" w16cid:durableId="1675961006">
    <w:abstractNumId w:val="0"/>
  </w:num>
  <w:num w:numId="6" w16cid:durableId="2111779337">
    <w:abstractNumId w:val="5"/>
  </w:num>
  <w:num w:numId="7" w16cid:durableId="1252012332">
    <w:abstractNumId w:val="2"/>
  </w:num>
  <w:num w:numId="8" w16cid:durableId="1362122183">
    <w:abstractNumId w:val="4"/>
  </w:num>
  <w:num w:numId="9" w16cid:durableId="7341135">
    <w:abstractNumId w:val="11"/>
  </w:num>
  <w:num w:numId="10" w16cid:durableId="1406223187">
    <w:abstractNumId w:val="8"/>
  </w:num>
  <w:num w:numId="11" w16cid:durableId="1355617154">
    <w:abstractNumId w:val="3"/>
  </w:num>
  <w:num w:numId="12" w16cid:durableId="11987331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B0"/>
    <w:rsid w:val="00000718"/>
    <w:rsid w:val="00014194"/>
    <w:rsid w:val="00036D59"/>
    <w:rsid w:val="00083376"/>
    <w:rsid w:val="000C39FE"/>
    <w:rsid w:val="000E7368"/>
    <w:rsid w:val="00122099"/>
    <w:rsid w:val="00124BBC"/>
    <w:rsid w:val="00142AC4"/>
    <w:rsid w:val="00146F5D"/>
    <w:rsid w:val="00154899"/>
    <w:rsid w:val="001642EF"/>
    <w:rsid w:val="001C20A3"/>
    <w:rsid w:val="001C7FC1"/>
    <w:rsid w:val="001E768B"/>
    <w:rsid w:val="00206F33"/>
    <w:rsid w:val="002102EA"/>
    <w:rsid w:val="002470A6"/>
    <w:rsid w:val="00273AA4"/>
    <w:rsid w:val="002854D9"/>
    <w:rsid w:val="0029588E"/>
    <w:rsid w:val="002C53FB"/>
    <w:rsid w:val="002E244F"/>
    <w:rsid w:val="003032CC"/>
    <w:rsid w:val="0031064E"/>
    <w:rsid w:val="003252A7"/>
    <w:rsid w:val="00337A82"/>
    <w:rsid w:val="00341CB3"/>
    <w:rsid w:val="0034256A"/>
    <w:rsid w:val="00357350"/>
    <w:rsid w:val="0037339B"/>
    <w:rsid w:val="00380474"/>
    <w:rsid w:val="003A7AD0"/>
    <w:rsid w:val="003C301D"/>
    <w:rsid w:val="003C7AA3"/>
    <w:rsid w:val="003E41A1"/>
    <w:rsid w:val="003F4698"/>
    <w:rsid w:val="00410DE9"/>
    <w:rsid w:val="0042026D"/>
    <w:rsid w:val="004225B5"/>
    <w:rsid w:val="00423594"/>
    <w:rsid w:val="00430DCA"/>
    <w:rsid w:val="0044015A"/>
    <w:rsid w:val="00441FBB"/>
    <w:rsid w:val="00464B4E"/>
    <w:rsid w:val="00467D12"/>
    <w:rsid w:val="004B22EB"/>
    <w:rsid w:val="004C4FA9"/>
    <w:rsid w:val="004F3B89"/>
    <w:rsid w:val="00501A80"/>
    <w:rsid w:val="00521F7F"/>
    <w:rsid w:val="00525703"/>
    <w:rsid w:val="00536338"/>
    <w:rsid w:val="00542AA7"/>
    <w:rsid w:val="00576574"/>
    <w:rsid w:val="00593E7E"/>
    <w:rsid w:val="00594622"/>
    <w:rsid w:val="005C38E3"/>
    <w:rsid w:val="005C78CA"/>
    <w:rsid w:val="005F6C6D"/>
    <w:rsid w:val="006140D9"/>
    <w:rsid w:val="00625AF4"/>
    <w:rsid w:val="00664749"/>
    <w:rsid w:val="00665029"/>
    <w:rsid w:val="00680FE7"/>
    <w:rsid w:val="00682224"/>
    <w:rsid w:val="00697C6F"/>
    <w:rsid w:val="006B0994"/>
    <w:rsid w:val="006C7244"/>
    <w:rsid w:val="006E0241"/>
    <w:rsid w:val="006E181C"/>
    <w:rsid w:val="006E23FB"/>
    <w:rsid w:val="006E25AF"/>
    <w:rsid w:val="006F6457"/>
    <w:rsid w:val="0070554A"/>
    <w:rsid w:val="007670F2"/>
    <w:rsid w:val="00772D0C"/>
    <w:rsid w:val="00781981"/>
    <w:rsid w:val="00795D7F"/>
    <w:rsid w:val="00795FA9"/>
    <w:rsid w:val="00803DAF"/>
    <w:rsid w:val="00806396"/>
    <w:rsid w:val="00806B8F"/>
    <w:rsid w:val="00827665"/>
    <w:rsid w:val="0086536B"/>
    <w:rsid w:val="00872F38"/>
    <w:rsid w:val="00872F7F"/>
    <w:rsid w:val="00886C25"/>
    <w:rsid w:val="00891F15"/>
    <w:rsid w:val="008B1537"/>
    <w:rsid w:val="008B5C86"/>
    <w:rsid w:val="008C32D7"/>
    <w:rsid w:val="008E0EB0"/>
    <w:rsid w:val="008E5864"/>
    <w:rsid w:val="00922180"/>
    <w:rsid w:val="00941220"/>
    <w:rsid w:val="00944C9C"/>
    <w:rsid w:val="0095028E"/>
    <w:rsid w:val="009B79B6"/>
    <w:rsid w:val="009C3DC0"/>
    <w:rsid w:val="009E7421"/>
    <w:rsid w:val="009F3B90"/>
    <w:rsid w:val="009F4C51"/>
    <w:rsid w:val="009F64BE"/>
    <w:rsid w:val="00A165B6"/>
    <w:rsid w:val="00A33CF0"/>
    <w:rsid w:val="00A62EF4"/>
    <w:rsid w:val="00A728B4"/>
    <w:rsid w:val="00AC038D"/>
    <w:rsid w:val="00AE0426"/>
    <w:rsid w:val="00B027D5"/>
    <w:rsid w:val="00B2523A"/>
    <w:rsid w:val="00B569C7"/>
    <w:rsid w:val="00B66C4F"/>
    <w:rsid w:val="00B81B0B"/>
    <w:rsid w:val="00BB5154"/>
    <w:rsid w:val="00BB6CF2"/>
    <w:rsid w:val="00BC5E92"/>
    <w:rsid w:val="00BF6D45"/>
    <w:rsid w:val="00C11577"/>
    <w:rsid w:val="00C205AE"/>
    <w:rsid w:val="00C20EF2"/>
    <w:rsid w:val="00C234DA"/>
    <w:rsid w:val="00C41490"/>
    <w:rsid w:val="00C4538B"/>
    <w:rsid w:val="00C721D8"/>
    <w:rsid w:val="00C76B71"/>
    <w:rsid w:val="00CA06B0"/>
    <w:rsid w:val="00CB66F3"/>
    <w:rsid w:val="00CC1336"/>
    <w:rsid w:val="00CD69FE"/>
    <w:rsid w:val="00CE64A6"/>
    <w:rsid w:val="00CF702E"/>
    <w:rsid w:val="00D351F5"/>
    <w:rsid w:val="00D6264C"/>
    <w:rsid w:val="00D863AD"/>
    <w:rsid w:val="00DA6A4F"/>
    <w:rsid w:val="00DB6391"/>
    <w:rsid w:val="00DC0B1A"/>
    <w:rsid w:val="00DC4310"/>
    <w:rsid w:val="00DE7074"/>
    <w:rsid w:val="00E10204"/>
    <w:rsid w:val="00E20F98"/>
    <w:rsid w:val="00E24B41"/>
    <w:rsid w:val="00E41377"/>
    <w:rsid w:val="00E43D6E"/>
    <w:rsid w:val="00E51003"/>
    <w:rsid w:val="00E560CA"/>
    <w:rsid w:val="00E87239"/>
    <w:rsid w:val="00E87FE7"/>
    <w:rsid w:val="00EB0A2F"/>
    <w:rsid w:val="00EB4171"/>
    <w:rsid w:val="00EC2682"/>
    <w:rsid w:val="00EE18AD"/>
    <w:rsid w:val="00EE4FF9"/>
    <w:rsid w:val="00EF63F6"/>
    <w:rsid w:val="00EF6770"/>
    <w:rsid w:val="00F0771C"/>
    <w:rsid w:val="00F11B5F"/>
    <w:rsid w:val="00F358D2"/>
    <w:rsid w:val="00F71A68"/>
    <w:rsid w:val="00F83449"/>
    <w:rsid w:val="00FB7177"/>
    <w:rsid w:val="00FC0D4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3EA4B"/>
  <w15:docId w15:val="{C87F270F-763C-486F-A57B-EFE828F2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336"/>
    <w:rPr>
      <w:rFonts w:eastAsia="SimSun"/>
      <w:sz w:val="24"/>
      <w:lang w:eastAsia="zh-CN"/>
    </w:rPr>
  </w:style>
  <w:style w:type="paragraph" w:styleId="Heading1">
    <w:name w:val="heading 1"/>
    <w:basedOn w:val="Normal"/>
    <w:next w:val="Normal"/>
    <w:link w:val="Heading1Char"/>
    <w:autoRedefine/>
    <w:qFormat/>
    <w:rsid w:val="004C4FA9"/>
    <w:pPr>
      <w:keepNext/>
      <w:spacing w:before="240" w:after="60"/>
      <w:ind w:left="4500"/>
      <w:jc w:val="center"/>
      <w:outlineLvl w:val="0"/>
    </w:pPr>
    <w:rPr>
      <w:rFonts w:ascii="Arial" w:hAnsi="Arial"/>
      <w:b/>
      <w:bCs/>
      <w:kern w:val="32"/>
      <w:sz w:val="32"/>
      <w:szCs w:val="32"/>
    </w:rPr>
  </w:style>
  <w:style w:type="paragraph" w:styleId="Heading2">
    <w:name w:val="heading 2"/>
    <w:basedOn w:val="Normal"/>
    <w:next w:val="Normal"/>
    <w:link w:val="Heading2Char"/>
    <w:autoRedefine/>
    <w:qFormat/>
    <w:rsid w:val="00467D12"/>
    <w:pPr>
      <w:keepNext/>
      <w:spacing w:before="360" w:after="60"/>
      <w:outlineLvl w:val="1"/>
    </w:pPr>
    <w:rPr>
      <w:rFonts w:ascii="Arial Black" w:hAnsi="Arial Black"/>
      <w:bCs/>
      <w:iCs/>
      <w:sz w:val="28"/>
      <w:szCs w:val="28"/>
    </w:rPr>
  </w:style>
  <w:style w:type="paragraph" w:styleId="Heading3">
    <w:name w:val="heading 3"/>
    <w:basedOn w:val="Normal"/>
    <w:next w:val="Normal"/>
    <w:link w:val="Heading3Char"/>
    <w:autoRedefine/>
    <w:uiPriority w:val="9"/>
    <w:qFormat/>
    <w:rsid w:val="002470A6"/>
    <w:pPr>
      <w:keepNext/>
      <w:spacing w:before="240" w:after="60"/>
      <w:ind w:left="990" w:hanging="450"/>
      <w:outlineLvl w:val="2"/>
    </w:pPr>
    <w:rPr>
      <w:rFonts w:ascii="Arial" w:hAnsi="Arial"/>
      <w:b/>
      <w:i/>
    </w:rPr>
  </w:style>
  <w:style w:type="paragraph" w:styleId="Heading4">
    <w:name w:val="heading 4"/>
    <w:basedOn w:val="Heading3"/>
    <w:next w:val="Normal"/>
    <w:autoRedefine/>
    <w:qFormat/>
    <w:rsid w:val="00467D12"/>
    <w:pPr>
      <w:tabs>
        <w:tab w:val="left" w:pos="5670"/>
      </w:tabs>
      <w:ind w:left="547" w:firstLine="0"/>
      <w:outlineLvl w:val="3"/>
    </w:pPr>
    <w:rPr>
      <w:rFonts w:cs="Arial"/>
      <w:i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After0pt">
    <w:name w:val="Style After:  0 pt"/>
    <w:basedOn w:val="Normal"/>
    <w:autoRedefine/>
    <w:rsid w:val="00CC1336"/>
  </w:style>
  <w:style w:type="paragraph" w:customStyle="1" w:styleId="Address">
    <w:name w:val="Address"/>
    <w:basedOn w:val="Normal"/>
    <w:rsid w:val="00CC1336"/>
    <w:rPr>
      <w:rFonts w:ascii="TradeGothicBoldCondTwenty" w:eastAsia="Times New Roman" w:hAnsi="TradeGothicBoldCondTwenty"/>
      <w:color w:val="000000"/>
      <w:sz w:val="16"/>
      <w:lang w:eastAsia="en-US"/>
    </w:rPr>
  </w:style>
  <w:style w:type="paragraph" w:customStyle="1" w:styleId="SubHead">
    <w:name w:val="SubHead"/>
    <w:basedOn w:val="Normal"/>
    <w:rsid w:val="00CC1336"/>
    <w:rPr>
      <w:rFonts w:ascii="Arial Narrow" w:eastAsia="Times New Roman" w:hAnsi="Arial Narrow"/>
      <w:noProof/>
      <w:color w:val="000000"/>
      <w:sz w:val="20"/>
      <w:lang w:eastAsia="en-US"/>
    </w:rPr>
  </w:style>
  <w:style w:type="paragraph" w:styleId="Date">
    <w:name w:val="Date"/>
    <w:basedOn w:val="Normal"/>
    <w:next w:val="Normal"/>
    <w:rsid w:val="00CC1336"/>
    <w:pPr>
      <w:spacing w:after="120"/>
    </w:pPr>
    <w:rPr>
      <w:rFonts w:ascii="Arial Narrow" w:eastAsia="Times New Roman" w:hAnsi="Arial Narrow"/>
      <w:color w:val="000000"/>
      <w:sz w:val="20"/>
      <w:lang w:eastAsia="en-US"/>
    </w:rPr>
  </w:style>
  <w:style w:type="paragraph" w:styleId="PlainText">
    <w:name w:val="Plain Text"/>
    <w:basedOn w:val="Normal"/>
    <w:rsid w:val="00CC1336"/>
    <w:pPr>
      <w:spacing w:after="120"/>
    </w:pPr>
    <w:rPr>
      <w:rFonts w:ascii="Courier New" w:eastAsia="Times New Roman" w:hAnsi="Courier New"/>
      <w:color w:val="000000"/>
      <w:sz w:val="20"/>
      <w:lang w:eastAsia="en-US"/>
    </w:rPr>
  </w:style>
  <w:style w:type="paragraph" w:customStyle="1" w:styleId="indent">
    <w:name w:val="indent"/>
    <w:basedOn w:val="Normal"/>
    <w:rsid w:val="00CC1336"/>
    <w:pPr>
      <w:spacing w:after="120"/>
      <w:ind w:left="300"/>
    </w:pPr>
    <w:rPr>
      <w:rFonts w:ascii="Arial Narrow" w:eastAsia="Times New Roman" w:hAnsi="Arial Narrow"/>
      <w:color w:val="000000"/>
      <w:sz w:val="20"/>
      <w:lang w:eastAsia="en-US"/>
    </w:rPr>
  </w:style>
  <w:style w:type="character" w:styleId="Hyperlink">
    <w:name w:val="Hyperlink"/>
    <w:uiPriority w:val="99"/>
    <w:rsid w:val="00CC1336"/>
    <w:rPr>
      <w:color w:val="0000FF"/>
      <w:u w:val="single"/>
    </w:rPr>
  </w:style>
  <w:style w:type="paragraph" w:styleId="Header">
    <w:name w:val="header"/>
    <w:basedOn w:val="Normal"/>
    <w:rsid w:val="00CC1336"/>
    <w:pPr>
      <w:tabs>
        <w:tab w:val="center" w:pos="4320"/>
        <w:tab w:val="right" w:pos="8640"/>
      </w:tabs>
    </w:pPr>
  </w:style>
  <w:style w:type="paragraph" w:styleId="Footer">
    <w:name w:val="footer"/>
    <w:basedOn w:val="Normal"/>
    <w:rsid w:val="00CC1336"/>
    <w:pPr>
      <w:tabs>
        <w:tab w:val="center" w:pos="4320"/>
        <w:tab w:val="right" w:pos="8640"/>
      </w:tabs>
    </w:pPr>
  </w:style>
  <w:style w:type="character" w:styleId="PageNumber">
    <w:name w:val="page number"/>
    <w:basedOn w:val="DefaultParagraphFont"/>
    <w:rsid w:val="00CC1336"/>
  </w:style>
  <w:style w:type="character" w:styleId="FollowedHyperlink">
    <w:name w:val="FollowedHyperlink"/>
    <w:rsid w:val="00CC1336"/>
    <w:rPr>
      <w:color w:val="993366"/>
      <w:u w:val="single"/>
    </w:rPr>
  </w:style>
  <w:style w:type="paragraph" w:customStyle="1" w:styleId="xl24">
    <w:name w:val="xl24"/>
    <w:basedOn w:val="Normal"/>
    <w:rsid w:val="00CC133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imes New Roman" w:hAnsi="Times"/>
      <w:sz w:val="20"/>
      <w:lang w:eastAsia="en-US"/>
    </w:rPr>
  </w:style>
  <w:style w:type="paragraph" w:customStyle="1" w:styleId="xl25">
    <w:name w:val="xl25"/>
    <w:basedOn w:val="Normal"/>
    <w:rsid w:val="00CC1336"/>
    <w:pPr>
      <w:pBdr>
        <w:top w:val="single" w:sz="4" w:space="0" w:color="auto"/>
        <w:left w:val="single" w:sz="4" w:space="0" w:color="auto"/>
        <w:right w:val="single" w:sz="4" w:space="0" w:color="auto"/>
      </w:pBdr>
      <w:shd w:val="clear" w:color="auto" w:fill="00CCFF"/>
      <w:spacing w:before="100" w:beforeAutospacing="1" w:after="100" w:afterAutospacing="1"/>
    </w:pPr>
    <w:rPr>
      <w:rFonts w:ascii="Times" w:eastAsia="Times New Roman" w:hAnsi="Times"/>
      <w:sz w:val="20"/>
      <w:lang w:eastAsia="en-US"/>
    </w:rPr>
  </w:style>
  <w:style w:type="paragraph" w:customStyle="1" w:styleId="xl26">
    <w:name w:val="xl26"/>
    <w:basedOn w:val="Normal"/>
    <w:rsid w:val="00CC1336"/>
    <w:pPr>
      <w:pBdr>
        <w:top w:val="single" w:sz="4" w:space="0" w:color="auto"/>
      </w:pBdr>
      <w:shd w:val="clear" w:color="auto" w:fill="00CCFF"/>
      <w:spacing w:before="100" w:beforeAutospacing="1" w:after="100" w:afterAutospacing="1"/>
    </w:pPr>
    <w:rPr>
      <w:rFonts w:ascii="Times" w:eastAsia="Times New Roman" w:hAnsi="Times"/>
      <w:sz w:val="20"/>
      <w:lang w:eastAsia="en-US"/>
    </w:rPr>
  </w:style>
  <w:style w:type="paragraph" w:customStyle="1" w:styleId="xl27">
    <w:name w:val="xl27"/>
    <w:basedOn w:val="Normal"/>
    <w:rsid w:val="00CC1336"/>
    <w:pPr>
      <w:pBdr>
        <w:top w:val="single" w:sz="4" w:space="0" w:color="auto"/>
      </w:pBdr>
      <w:shd w:val="clear" w:color="auto" w:fill="00CCFF"/>
      <w:spacing w:before="100" w:beforeAutospacing="1" w:after="100" w:afterAutospacing="1"/>
      <w:jc w:val="right"/>
    </w:pPr>
    <w:rPr>
      <w:rFonts w:ascii="Times" w:eastAsia="Times New Roman" w:hAnsi="Times"/>
      <w:b/>
      <w:sz w:val="20"/>
      <w:lang w:eastAsia="en-US"/>
    </w:rPr>
  </w:style>
  <w:style w:type="paragraph" w:customStyle="1" w:styleId="xl28">
    <w:name w:val="xl28"/>
    <w:basedOn w:val="Normal"/>
    <w:rsid w:val="00CC1336"/>
    <w:pPr>
      <w:pBdr>
        <w:top w:val="single" w:sz="4" w:space="0" w:color="auto"/>
        <w:right w:val="single" w:sz="4" w:space="0" w:color="auto"/>
      </w:pBdr>
      <w:shd w:val="clear" w:color="auto" w:fill="00CCFF"/>
      <w:spacing w:before="100" w:beforeAutospacing="1" w:after="100" w:afterAutospacing="1"/>
    </w:pPr>
    <w:rPr>
      <w:rFonts w:ascii="Times" w:eastAsia="Times New Roman" w:hAnsi="Times"/>
      <w:sz w:val="20"/>
      <w:lang w:eastAsia="en-US"/>
    </w:rPr>
  </w:style>
  <w:style w:type="paragraph" w:customStyle="1" w:styleId="xl29">
    <w:name w:val="xl29"/>
    <w:basedOn w:val="Normal"/>
    <w:rsid w:val="00CC1336"/>
    <w:pPr>
      <w:pBdr>
        <w:top w:val="single" w:sz="4" w:space="0" w:color="auto"/>
        <w:left w:val="single" w:sz="4" w:space="0" w:color="auto"/>
        <w:right w:val="single" w:sz="4" w:space="0" w:color="auto"/>
      </w:pBdr>
      <w:shd w:val="clear" w:color="auto" w:fill="00CCFF"/>
      <w:spacing w:before="100" w:beforeAutospacing="1" w:after="100" w:afterAutospacing="1"/>
      <w:jc w:val="center"/>
    </w:pPr>
    <w:rPr>
      <w:rFonts w:ascii="Times" w:eastAsia="Times New Roman" w:hAnsi="Times"/>
      <w:b/>
      <w:sz w:val="20"/>
      <w:lang w:eastAsia="en-US"/>
    </w:rPr>
  </w:style>
  <w:style w:type="paragraph" w:customStyle="1" w:styleId="xl30">
    <w:name w:val="xl30"/>
    <w:basedOn w:val="Normal"/>
    <w:rsid w:val="00CC1336"/>
    <w:pPr>
      <w:pBdr>
        <w:left w:val="single" w:sz="4" w:space="0" w:color="auto"/>
        <w:bottom w:val="single" w:sz="4" w:space="0" w:color="auto"/>
        <w:right w:val="single" w:sz="4" w:space="0" w:color="auto"/>
      </w:pBdr>
      <w:shd w:val="clear" w:color="auto" w:fill="00CCFF"/>
      <w:spacing w:before="100" w:beforeAutospacing="1" w:after="100" w:afterAutospacing="1"/>
    </w:pPr>
    <w:rPr>
      <w:rFonts w:ascii="Times" w:eastAsia="Times New Roman" w:hAnsi="Times"/>
      <w:b/>
      <w:sz w:val="20"/>
      <w:lang w:eastAsia="en-US"/>
    </w:rPr>
  </w:style>
  <w:style w:type="paragraph" w:customStyle="1" w:styleId="xl31">
    <w:name w:val="xl31"/>
    <w:basedOn w:val="Normal"/>
    <w:rsid w:val="00CC1336"/>
    <w:pPr>
      <w:pBdr>
        <w:bottom w:val="single" w:sz="4" w:space="0" w:color="auto"/>
      </w:pBdr>
      <w:shd w:val="clear" w:color="auto" w:fill="00CCFF"/>
      <w:spacing w:before="100" w:beforeAutospacing="1" w:after="100" w:afterAutospacing="1"/>
      <w:jc w:val="center"/>
    </w:pPr>
    <w:rPr>
      <w:rFonts w:ascii="Times" w:eastAsia="Times New Roman" w:hAnsi="Times"/>
      <w:b/>
      <w:sz w:val="20"/>
      <w:lang w:eastAsia="en-US"/>
    </w:rPr>
  </w:style>
  <w:style w:type="paragraph" w:customStyle="1" w:styleId="xl32">
    <w:name w:val="xl32"/>
    <w:basedOn w:val="Normal"/>
    <w:rsid w:val="00CC1336"/>
    <w:pPr>
      <w:pBdr>
        <w:bottom w:val="single" w:sz="4" w:space="0" w:color="auto"/>
        <w:right w:val="single" w:sz="4" w:space="0" w:color="auto"/>
      </w:pBdr>
      <w:shd w:val="clear" w:color="auto" w:fill="00CCFF"/>
      <w:spacing w:before="100" w:beforeAutospacing="1" w:after="100" w:afterAutospacing="1"/>
      <w:jc w:val="center"/>
    </w:pPr>
    <w:rPr>
      <w:rFonts w:ascii="Times" w:eastAsia="Times New Roman" w:hAnsi="Times"/>
      <w:b/>
      <w:sz w:val="20"/>
      <w:lang w:eastAsia="en-US"/>
    </w:rPr>
  </w:style>
  <w:style w:type="paragraph" w:customStyle="1" w:styleId="xl33">
    <w:name w:val="xl33"/>
    <w:basedOn w:val="Normal"/>
    <w:rsid w:val="00CC133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imes New Roman" w:hAnsi="Times"/>
      <w:sz w:val="20"/>
      <w:lang w:eastAsia="en-US"/>
    </w:rPr>
  </w:style>
  <w:style w:type="paragraph" w:customStyle="1" w:styleId="Plainparagraph">
    <w:name w:val="Plain paragraph"/>
    <w:basedOn w:val="PlainText"/>
    <w:rsid w:val="00FD11F7"/>
    <w:pPr>
      <w:spacing w:before="120"/>
    </w:pPr>
    <w:rPr>
      <w:rFonts w:ascii="Arial Narrow" w:hAnsi="Arial Narrow"/>
    </w:rPr>
  </w:style>
  <w:style w:type="paragraph" w:styleId="ListParagraph">
    <w:name w:val="List Paragraph"/>
    <w:basedOn w:val="Normal"/>
    <w:uiPriority w:val="34"/>
    <w:qFormat/>
    <w:rsid w:val="00FB21E8"/>
    <w:pPr>
      <w:ind w:left="720"/>
      <w:contextualSpacing/>
    </w:pPr>
    <w:rPr>
      <w:rFonts w:ascii="Cambria" w:eastAsia="Cambria" w:hAnsi="Cambria"/>
      <w:szCs w:val="24"/>
      <w:lang w:eastAsia="en-US"/>
    </w:rPr>
  </w:style>
  <w:style w:type="character" w:customStyle="1" w:styleId="Heading3Char">
    <w:name w:val="Heading 3 Char"/>
    <w:link w:val="Heading3"/>
    <w:uiPriority w:val="9"/>
    <w:rsid w:val="002470A6"/>
    <w:rPr>
      <w:rFonts w:ascii="Arial" w:eastAsia="SimSun" w:hAnsi="Arial"/>
      <w:b/>
      <w:i/>
      <w:sz w:val="24"/>
      <w:lang w:eastAsia="zh-CN"/>
    </w:rPr>
  </w:style>
  <w:style w:type="character" w:customStyle="1" w:styleId="Heading2Char">
    <w:name w:val="Heading 2 Char"/>
    <w:link w:val="Heading2"/>
    <w:rsid w:val="00467D12"/>
    <w:rPr>
      <w:rFonts w:ascii="Arial Black" w:eastAsia="SimSun" w:hAnsi="Arial Black"/>
      <w:bCs/>
      <w:iCs/>
      <w:sz w:val="28"/>
      <w:szCs w:val="28"/>
      <w:lang w:eastAsia="zh-CN"/>
    </w:rPr>
  </w:style>
  <w:style w:type="character" w:customStyle="1" w:styleId="Heading1Char">
    <w:name w:val="Heading 1 Char"/>
    <w:link w:val="Heading1"/>
    <w:rsid w:val="004C4FA9"/>
    <w:rPr>
      <w:rFonts w:ascii="Arial" w:eastAsia="SimSun" w:hAnsi="Arial"/>
      <w:b/>
      <w:bCs/>
      <w:kern w:val="32"/>
      <w:sz w:val="32"/>
      <w:szCs w:val="32"/>
      <w:lang w:eastAsia="zh-CN"/>
    </w:rPr>
  </w:style>
  <w:style w:type="paragraph" w:styleId="TOC1">
    <w:name w:val="toc 1"/>
    <w:basedOn w:val="Normal"/>
    <w:next w:val="Normal"/>
    <w:autoRedefine/>
    <w:uiPriority w:val="39"/>
    <w:rsid w:val="00FB21E8"/>
    <w:pPr>
      <w:spacing w:before="120"/>
    </w:pPr>
    <w:rPr>
      <w:rFonts w:ascii="Cambria" w:eastAsia="Cambria" w:hAnsi="Cambria"/>
      <w:b/>
      <w:caps/>
      <w:sz w:val="22"/>
      <w:szCs w:val="22"/>
      <w:lang w:eastAsia="en-US"/>
    </w:rPr>
  </w:style>
  <w:style w:type="paragraph" w:styleId="TOC2">
    <w:name w:val="toc 2"/>
    <w:basedOn w:val="Normal"/>
    <w:next w:val="Normal"/>
    <w:autoRedefine/>
    <w:uiPriority w:val="39"/>
    <w:rsid w:val="00FB21E8"/>
    <w:pPr>
      <w:ind w:left="240"/>
    </w:pPr>
    <w:rPr>
      <w:rFonts w:ascii="Cambria" w:eastAsia="Cambria" w:hAnsi="Cambria"/>
      <w:smallCaps/>
      <w:sz w:val="22"/>
      <w:szCs w:val="22"/>
      <w:lang w:eastAsia="en-US"/>
    </w:rPr>
  </w:style>
  <w:style w:type="paragraph" w:styleId="TOC3">
    <w:name w:val="toc 3"/>
    <w:basedOn w:val="Normal"/>
    <w:next w:val="Normal"/>
    <w:autoRedefine/>
    <w:uiPriority w:val="39"/>
    <w:rsid w:val="00FB21E8"/>
    <w:pPr>
      <w:ind w:left="480"/>
    </w:pPr>
    <w:rPr>
      <w:rFonts w:ascii="Cambria" w:eastAsia="Cambria" w:hAnsi="Cambria"/>
      <w:i/>
      <w:sz w:val="22"/>
      <w:szCs w:val="22"/>
      <w:lang w:eastAsia="en-US"/>
    </w:rPr>
  </w:style>
  <w:style w:type="paragraph" w:styleId="TOC4">
    <w:name w:val="toc 4"/>
    <w:basedOn w:val="Normal"/>
    <w:next w:val="Normal"/>
    <w:autoRedefine/>
    <w:rsid w:val="00FB21E8"/>
    <w:pPr>
      <w:ind w:left="720"/>
    </w:pPr>
    <w:rPr>
      <w:rFonts w:ascii="Cambria" w:eastAsia="Cambria" w:hAnsi="Cambria"/>
      <w:sz w:val="18"/>
      <w:szCs w:val="18"/>
      <w:lang w:eastAsia="en-US"/>
    </w:rPr>
  </w:style>
  <w:style w:type="paragraph" w:styleId="TOC5">
    <w:name w:val="toc 5"/>
    <w:basedOn w:val="Normal"/>
    <w:next w:val="Normal"/>
    <w:autoRedefine/>
    <w:rsid w:val="00FB21E8"/>
    <w:pPr>
      <w:ind w:left="960"/>
    </w:pPr>
    <w:rPr>
      <w:rFonts w:ascii="Cambria" w:eastAsia="Cambria" w:hAnsi="Cambria"/>
      <w:sz w:val="18"/>
      <w:szCs w:val="18"/>
      <w:lang w:eastAsia="en-US"/>
    </w:rPr>
  </w:style>
  <w:style w:type="paragraph" w:styleId="TOC6">
    <w:name w:val="toc 6"/>
    <w:basedOn w:val="Normal"/>
    <w:next w:val="Normal"/>
    <w:autoRedefine/>
    <w:rsid w:val="00FB21E8"/>
    <w:pPr>
      <w:ind w:left="1200"/>
    </w:pPr>
    <w:rPr>
      <w:rFonts w:ascii="Cambria" w:eastAsia="Cambria" w:hAnsi="Cambria"/>
      <w:sz w:val="18"/>
      <w:szCs w:val="18"/>
      <w:lang w:eastAsia="en-US"/>
    </w:rPr>
  </w:style>
  <w:style w:type="paragraph" w:styleId="TOC7">
    <w:name w:val="toc 7"/>
    <w:basedOn w:val="Normal"/>
    <w:next w:val="Normal"/>
    <w:autoRedefine/>
    <w:rsid w:val="00FB21E8"/>
    <w:pPr>
      <w:ind w:left="1440"/>
    </w:pPr>
    <w:rPr>
      <w:rFonts w:ascii="Cambria" w:eastAsia="Cambria" w:hAnsi="Cambria"/>
      <w:sz w:val="18"/>
      <w:szCs w:val="18"/>
      <w:lang w:eastAsia="en-US"/>
    </w:rPr>
  </w:style>
  <w:style w:type="paragraph" w:styleId="TOC8">
    <w:name w:val="toc 8"/>
    <w:basedOn w:val="Normal"/>
    <w:next w:val="Normal"/>
    <w:autoRedefine/>
    <w:rsid w:val="00FB21E8"/>
    <w:pPr>
      <w:ind w:left="1680"/>
    </w:pPr>
    <w:rPr>
      <w:rFonts w:ascii="Cambria" w:eastAsia="Cambria" w:hAnsi="Cambria"/>
      <w:sz w:val="18"/>
      <w:szCs w:val="18"/>
      <w:lang w:eastAsia="en-US"/>
    </w:rPr>
  </w:style>
  <w:style w:type="paragraph" w:styleId="TOC9">
    <w:name w:val="toc 9"/>
    <w:basedOn w:val="Normal"/>
    <w:next w:val="Normal"/>
    <w:autoRedefine/>
    <w:rsid w:val="00FB21E8"/>
    <w:pPr>
      <w:ind w:left="1920"/>
    </w:pPr>
    <w:rPr>
      <w:rFonts w:ascii="Cambria" w:eastAsia="Cambria" w:hAnsi="Cambria"/>
      <w:sz w:val="18"/>
      <w:szCs w:val="18"/>
      <w:lang w:eastAsia="en-US"/>
    </w:rPr>
  </w:style>
  <w:style w:type="table" w:styleId="TableGrid">
    <w:name w:val="Table Grid"/>
    <w:basedOn w:val="TableNormal"/>
    <w:uiPriority w:val="59"/>
    <w:rsid w:val="00FB21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ulletlist">
    <w:name w:val="Bullet list"/>
    <w:basedOn w:val="Normal"/>
    <w:rsid w:val="00383B41"/>
    <w:pPr>
      <w:numPr>
        <w:numId w:val="12"/>
      </w:numPr>
      <w:spacing w:before="120"/>
    </w:pPr>
    <w:rPr>
      <w:rFonts w:eastAsia="Times New Roman"/>
      <w:szCs w:val="24"/>
      <w:lang w:eastAsia="en-US"/>
    </w:rPr>
  </w:style>
  <w:style w:type="paragraph" w:styleId="NoSpacing">
    <w:name w:val="No Spacing"/>
    <w:basedOn w:val="Normal"/>
    <w:uiPriority w:val="1"/>
    <w:qFormat/>
    <w:rsid w:val="002C3985"/>
    <w:rPr>
      <w:rFonts w:ascii="Calibri" w:eastAsia="MS Gothic" w:hAnsi="Calibri"/>
      <w:sz w:val="22"/>
      <w:szCs w:val="22"/>
      <w:lang w:eastAsia="en-US"/>
    </w:rPr>
  </w:style>
  <w:style w:type="paragraph" w:styleId="BalloonText">
    <w:name w:val="Balloon Text"/>
    <w:basedOn w:val="Normal"/>
    <w:link w:val="BalloonTextChar"/>
    <w:uiPriority w:val="99"/>
    <w:semiHidden/>
    <w:unhideWhenUsed/>
    <w:rsid w:val="00E41377"/>
    <w:rPr>
      <w:rFonts w:ascii="Lucida Grande" w:hAnsi="Lucida Grande" w:cs="Lucida Grande"/>
      <w:sz w:val="18"/>
      <w:szCs w:val="18"/>
    </w:rPr>
  </w:style>
  <w:style w:type="paragraph" w:customStyle="1" w:styleId="Copyindent">
    <w:name w:val="Copy indent"/>
    <w:basedOn w:val="Normal"/>
    <w:qFormat/>
    <w:rsid w:val="00EB0A2F"/>
    <w:pPr>
      <w:ind w:left="990"/>
    </w:pPr>
  </w:style>
  <w:style w:type="character" w:customStyle="1" w:styleId="BalloonTextChar">
    <w:name w:val="Balloon Text Char"/>
    <w:basedOn w:val="DefaultParagraphFont"/>
    <w:link w:val="BalloonText"/>
    <w:uiPriority w:val="99"/>
    <w:semiHidden/>
    <w:rsid w:val="00E41377"/>
    <w:rPr>
      <w:rFonts w:ascii="Lucida Grande" w:eastAsia="SimSun" w:hAnsi="Lucida Grande" w:cs="Lucida Grande"/>
      <w:sz w:val="18"/>
      <w:szCs w:val="18"/>
      <w:lang w:eastAsia="zh-CN"/>
    </w:rPr>
  </w:style>
  <w:style w:type="paragraph" w:customStyle="1" w:styleId="Indentnumberlist">
    <w:name w:val="Indent number list"/>
    <w:basedOn w:val="Copyindent"/>
    <w:qFormat/>
    <w:rsid w:val="00806396"/>
    <w:pPr>
      <w:spacing w:before="60" w:after="60"/>
      <w:ind w:left="1440" w:hanging="446"/>
    </w:pPr>
  </w:style>
  <w:style w:type="paragraph" w:styleId="Caption">
    <w:name w:val="caption"/>
    <w:basedOn w:val="Normal"/>
    <w:next w:val="Normal"/>
    <w:uiPriority w:val="35"/>
    <w:unhideWhenUsed/>
    <w:qFormat/>
    <w:rsid w:val="00146F5D"/>
    <w:pPr>
      <w:spacing w:before="120" w:after="240"/>
      <w:ind w:left="994"/>
    </w:pPr>
    <w:rPr>
      <w:bCs/>
      <w:i/>
      <w:color w:val="7F7F7F" w:themeColor="text1" w:themeTint="80"/>
      <w:sz w:val="20"/>
    </w:rPr>
  </w:style>
  <w:style w:type="paragraph" w:customStyle="1" w:styleId="alert">
    <w:name w:val="alert"/>
    <w:basedOn w:val="Copyindent"/>
    <w:qFormat/>
    <w:rsid w:val="00E87239"/>
    <w:pPr>
      <w:spacing w:before="60" w:after="60"/>
      <w:ind w:left="994"/>
    </w:pPr>
    <w:rPr>
      <w:i/>
      <w:color w:val="FF0000"/>
    </w:rPr>
  </w:style>
  <w:style w:type="paragraph" w:customStyle="1" w:styleId="appendixhead">
    <w:name w:val="appendix head"/>
    <w:basedOn w:val="Normal"/>
    <w:qFormat/>
    <w:rsid w:val="00F358D2"/>
    <w:pPr>
      <w:spacing w:after="240"/>
      <w:jc w:val="center"/>
    </w:pPr>
    <w:rPr>
      <w:b/>
      <w:sz w:val="32"/>
    </w:rPr>
  </w:style>
  <w:style w:type="paragraph" w:customStyle="1" w:styleId="formuladon">
    <w:name w:val="formula don"/>
    <w:basedOn w:val="Normal"/>
    <w:qFormat/>
    <w:rsid w:val="00337A82"/>
    <w:pPr>
      <w:spacing w:before="240" w:after="60"/>
      <w:ind w:left="994"/>
    </w:pPr>
    <w:rPr>
      <w:i/>
    </w:rPr>
  </w:style>
  <w:style w:type="paragraph" w:customStyle="1" w:styleId="formula">
    <w:name w:val="formula"/>
    <w:basedOn w:val="Indentnumberlist"/>
    <w:qFormat/>
    <w:rsid w:val="00E87FE7"/>
    <w:pPr>
      <w:spacing w:before="120"/>
    </w:pPr>
    <w:rPr>
      <w:rFonts w:asciiTheme="minorHAnsi" w:hAnsiTheme="minorHAnsi"/>
    </w:rPr>
  </w:style>
  <w:style w:type="paragraph" w:customStyle="1" w:styleId="Illustration">
    <w:name w:val="Illustration"/>
    <w:basedOn w:val="Normal"/>
    <w:rsid w:val="006C7244"/>
    <w:pPr>
      <w:suppressAutoHyphens/>
      <w:autoSpaceDE w:val="0"/>
      <w:spacing w:before="120" w:after="60"/>
      <w:ind w:left="144"/>
      <w:jc w:val="center"/>
    </w:pPr>
    <w:rPr>
      <w:rFonts w:ascii="Arial" w:eastAsia="MS Mincho" w:hAnsi="Arial" w:cs="Arial"/>
      <w:bCs/>
      <w:i/>
      <w:iCs/>
      <w:color w:val="808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AA556-E17B-46E0-AA93-6D97AF662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1270</Words>
  <Characters>5936</Characters>
  <Application>Microsoft Office Word</Application>
  <DocSecurity>0</DocSecurity>
  <Lines>395</Lines>
  <Paragraphs>360</Paragraphs>
  <ScaleCrop>false</ScaleCrop>
  <HeadingPairs>
    <vt:vector size="2" baseType="variant">
      <vt:variant>
        <vt:lpstr>Title</vt:lpstr>
      </vt:variant>
      <vt:variant>
        <vt:i4>1</vt:i4>
      </vt:variant>
    </vt:vector>
  </HeadingPairs>
  <TitlesOfParts>
    <vt:vector size="1" baseType="lpstr">
      <vt:lpstr>Vendor Logo Here</vt:lpstr>
    </vt:vector>
  </TitlesOfParts>
  <Company> </Company>
  <LinksUpToDate>false</LinksUpToDate>
  <CharactersWithSpaces>6846</CharactersWithSpaces>
  <SharedDoc>false</SharedDoc>
  <HLinks>
    <vt:vector size="30" baseType="variant">
      <vt:variant>
        <vt:i4>2687017</vt:i4>
      </vt:variant>
      <vt:variant>
        <vt:i4>2048</vt:i4>
      </vt:variant>
      <vt:variant>
        <vt:i4>1025</vt:i4>
      </vt:variant>
      <vt:variant>
        <vt:i4>1</vt:i4>
      </vt:variant>
      <vt:variant>
        <vt:lpwstr>Etched Double Line</vt:lpwstr>
      </vt:variant>
      <vt:variant>
        <vt:lpwstr/>
      </vt:variant>
      <vt:variant>
        <vt:i4>3080214</vt:i4>
      </vt:variant>
      <vt:variant>
        <vt:i4>2051</vt:i4>
      </vt:variant>
      <vt:variant>
        <vt:i4>1029</vt:i4>
      </vt:variant>
      <vt:variant>
        <vt:i4>1</vt:i4>
      </vt:variant>
      <vt:variant>
        <vt:lpwstr>idealliancelogo_sRGB</vt:lpwstr>
      </vt:variant>
      <vt:variant>
        <vt:lpwstr/>
      </vt:variant>
      <vt:variant>
        <vt:i4>2687017</vt:i4>
      </vt:variant>
      <vt:variant>
        <vt:i4>2102</vt:i4>
      </vt:variant>
      <vt:variant>
        <vt:i4>1026</vt:i4>
      </vt:variant>
      <vt:variant>
        <vt:i4>1</vt:i4>
      </vt:variant>
      <vt:variant>
        <vt:lpwstr>Etched Double Line</vt:lpwstr>
      </vt:variant>
      <vt:variant>
        <vt:lpwstr/>
      </vt:variant>
      <vt:variant>
        <vt:i4>2687017</vt:i4>
      </vt:variant>
      <vt:variant>
        <vt:i4>2121</vt:i4>
      </vt:variant>
      <vt:variant>
        <vt:i4>1027</vt:i4>
      </vt:variant>
      <vt:variant>
        <vt:i4>1</vt:i4>
      </vt:variant>
      <vt:variant>
        <vt:lpwstr>Etched Double Line</vt:lpwstr>
      </vt:variant>
      <vt:variant>
        <vt:lpwstr/>
      </vt:variant>
      <vt:variant>
        <vt:i4>2687017</vt:i4>
      </vt:variant>
      <vt:variant>
        <vt:i4>2724</vt:i4>
      </vt:variant>
      <vt:variant>
        <vt:i4>1028</vt:i4>
      </vt:variant>
      <vt:variant>
        <vt:i4>1</vt:i4>
      </vt:variant>
      <vt:variant>
        <vt:lpwstr>Etched Double 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Vendor Logo Here</dc:title>
  <dc:subject/>
  <dc:creator>Dianne Kennedy</dc:creator>
  <cp:keywords/>
  <dc:description/>
  <cp:lastModifiedBy>Jordan Gorski</cp:lastModifiedBy>
  <cp:revision>3</cp:revision>
  <cp:lastPrinted>2006-11-08T13:54:00Z</cp:lastPrinted>
  <dcterms:created xsi:type="dcterms:W3CDTF">2018-07-17T14:43:00Z</dcterms:created>
  <dcterms:modified xsi:type="dcterms:W3CDTF">2022-12-09T17:12:00Z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44a5549091030999003be16bc04c07e122a6d232b892fd7c9c76434767c0e414</vt:lpwstr>
  </property>
</Properties>
</file>